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DAE68" w14:textId="5AD6F2DC" w:rsidR="00F524E1" w:rsidRPr="00263FFD" w:rsidRDefault="2328BDBE" w:rsidP="00684396">
      <w:pPr>
        <w:pStyle w:val="Otsikko1"/>
        <w:rPr>
          <w:lang w:val="en-GB"/>
        </w:rPr>
      </w:pPr>
      <w:r w:rsidRPr="2489725C">
        <w:rPr>
          <w:lang w:val="en-GB"/>
        </w:rPr>
        <w:t xml:space="preserve">Initial discussions on the </w:t>
      </w:r>
      <w:r w:rsidR="00684396" w:rsidRPr="2489725C">
        <w:rPr>
          <w:lang w:val="en-GB"/>
        </w:rPr>
        <w:t>Strateg</w:t>
      </w:r>
      <w:r w:rsidRPr="2489725C">
        <w:rPr>
          <w:lang w:val="en-GB"/>
        </w:rPr>
        <w:t>ic</w:t>
      </w:r>
      <w:r w:rsidR="00684396" w:rsidRPr="2489725C">
        <w:rPr>
          <w:lang w:val="en-GB"/>
        </w:rPr>
        <w:t xml:space="preserve"> </w:t>
      </w:r>
      <w:r w:rsidRPr="2489725C">
        <w:rPr>
          <w:lang w:val="en-GB"/>
        </w:rPr>
        <w:t>P</w:t>
      </w:r>
      <w:r w:rsidR="00684396" w:rsidRPr="2489725C">
        <w:rPr>
          <w:lang w:val="en-GB"/>
        </w:rPr>
        <w:t>lan</w:t>
      </w:r>
      <w:r w:rsidR="753957DC" w:rsidRPr="2489725C">
        <w:rPr>
          <w:lang w:val="en-GB"/>
        </w:rPr>
        <w:t>, as</w:t>
      </w:r>
      <w:r w:rsidR="00684396" w:rsidRPr="2489725C">
        <w:rPr>
          <w:lang w:val="en-GB"/>
        </w:rPr>
        <w:t xml:space="preserve"> </w:t>
      </w:r>
      <w:r w:rsidRPr="2489725C">
        <w:rPr>
          <w:lang w:val="en-GB"/>
        </w:rPr>
        <w:t>of</w:t>
      </w:r>
      <w:r w:rsidR="00684396" w:rsidRPr="2489725C">
        <w:rPr>
          <w:lang w:val="en-GB"/>
        </w:rPr>
        <w:t xml:space="preserve"> 2024</w:t>
      </w:r>
      <w:r w:rsidR="6362FA85" w:rsidRPr="2489725C">
        <w:rPr>
          <w:lang w:val="en-GB"/>
        </w:rPr>
        <w:t xml:space="preserve">, of the </w:t>
      </w:r>
      <w:r w:rsidR="70A7F21D" w:rsidRPr="2489725C">
        <w:rPr>
          <w:lang w:val="en-GB"/>
        </w:rPr>
        <w:t>Artificial Intelligence and Data Science Working Group</w:t>
      </w:r>
    </w:p>
    <w:p w14:paraId="3713AE2A" w14:textId="338F5AF9" w:rsidR="00F524E1" w:rsidRPr="00263FFD" w:rsidRDefault="2328BDBE" w:rsidP="2489725C">
      <w:pPr>
        <w:pStyle w:val="Otsikko1"/>
        <w:rPr>
          <w:lang w:val="en-GB"/>
        </w:rPr>
      </w:pPr>
      <w:r w:rsidRPr="2489725C">
        <w:rPr>
          <w:lang w:val="en-GB"/>
        </w:rPr>
        <w:t>Introduction</w:t>
      </w:r>
    </w:p>
    <w:p w14:paraId="1DA1D22F" w14:textId="77777777" w:rsidR="00DA7311" w:rsidRPr="00263FFD" w:rsidRDefault="00DA7311" w:rsidP="00F524E1">
      <w:pPr>
        <w:rPr>
          <w:lang w:val="en-GB"/>
        </w:rPr>
      </w:pPr>
    </w:p>
    <w:p w14:paraId="5C64AE2E" w14:textId="37343488" w:rsidR="00F524E1" w:rsidRPr="00263FFD" w:rsidRDefault="00F524E1" w:rsidP="00F524E1">
      <w:pPr>
        <w:rPr>
          <w:lang w:val="en-GB"/>
        </w:rPr>
      </w:pPr>
      <w:r w:rsidRPr="00263FFD">
        <w:rPr>
          <w:lang w:val="en-GB"/>
        </w:rPr>
        <w:t>The AAE had its annual meeting in Cologne early October. This was the first AAE meeting where the Artificial Intelligence Working Group was reporting to the Professionalism Committee of the AAE.</w:t>
      </w:r>
    </w:p>
    <w:p w14:paraId="13D57F5B" w14:textId="77777777" w:rsidR="00F524E1" w:rsidRPr="00263FFD" w:rsidRDefault="00F524E1" w:rsidP="00F524E1">
      <w:pPr>
        <w:rPr>
          <w:lang w:val="en-GB"/>
        </w:rPr>
      </w:pPr>
    </w:p>
    <w:p w14:paraId="4DE31990" w14:textId="4DE5EBB8" w:rsidR="00F524E1" w:rsidRPr="00263FFD" w:rsidRDefault="70A7F21D" w:rsidP="00F524E1">
      <w:pPr>
        <w:rPr>
          <w:lang w:val="en-GB"/>
        </w:rPr>
      </w:pPr>
      <w:r w:rsidRPr="2489725C">
        <w:rPr>
          <w:lang w:val="en-GB"/>
        </w:rPr>
        <w:t xml:space="preserve">The Professionalism Committee decided that </w:t>
      </w:r>
      <w:r w:rsidR="39439F8C" w:rsidRPr="2489725C">
        <w:rPr>
          <w:lang w:val="en-GB"/>
        </w:rPr>
        <w:t>Esko</w:t>
      </w:r>
      <w:r w:rsidR="31280771" w:rsidRPr="2489725C">
        <w:rPr>
          <w:lang w:val="en-GB"/>
        </w:rPr>
        <w:t xml:space="preserve"> Kivisaari</w:t>
      </w:r>
      <w:r w:rsidRPr="2489725C">
        <w:rPr>
          <w:lang w:val="en-GB"/>
        </w:rPr>
        <w:t xml:space="preserve"> was given </w:t>
      </w:r>
      <w:r w:rsidR="1802F047" w:rsidRPr="2489725C">
        <w:rPr>
          <w:lang w:val="en-GB"/>
        </w:rPr>
        <w:t>the</w:t>
      </w:r>
      <w:r w:rsidRPr="2489725C">
        <w:rPr>
          <w:lang w:val="en-GB"/>
        </w:rPr>
        <w:t xml:space="preserve"> pass to continue as the chair of this Working Group. The </w:t>
      </w:r>
      <w:proofErr w:type="spellStart"/>
      <w:r w:rsidRPr="2489725C">
        <w:rPr>
          <w:lang w:val="en-GB"/>
        </w:rPr>
        <w:t>ProfC</w:t>
      </w:r>
      <w:proofErr w:type="spellEnd"/>
      <w:r w:rsidRPr="2489725C">
        <w:rPr>
          <w:lang w:val="en-GB"/>
        </w:rPr>
        <w:t xml:space="preserve"> also nominated two vice chairs for this WG, and these are Claudio Senatore from Italy and Bogdan Tautan of the Netherlands. </w:t>
      </w:r>
      <w:r w:rsidR="77E884BD" w:rsidRPr="2489725C">
        <w:rPr>
          <w:lang w:val="en-GB"/>
        </w:rPr>
        <w:t>In addition to these two</w:t>
      </w:r>
      <w:r w:rsidR="19890CF1" w:rsidRPr="2489725C">
        <w:rPr>
          <w:lang w:val="en-GB"/>
        </w:rPr>
        <w:t>,</w:t>
      </w:r>
      <w:r w:rsidRPr="2489725C">
        <w:rPr>
          <w:lang w:val="en-GB"/>
        </w:rPr>
        <w:t xml:space="preserve"> based on the activity of Jonas Hirz of Austria</w:t>
      </w:r>
      <w:r w:rsidR="2772DAF6" w:rsidRPr="2489725C">
        <w:rPr>
          <w:lang w:val="en-GB"/>
        </w:rPr>
        <w:t>,</w:t>
      </w:r>
      <w:r w:rsidRPr="2489725C">
        <w:rPr>
          <w:lang w:val="en-GB"/>
        </w:rPr>
        <w:t xml:space="preserve"> </w:t>
      </w:r>
      <w:r w:rsidR="3C6FCE31" w:rsidRPr="2489725C">
        <w:rPr>
          <w:lang w:val="en-GB"/>
        </w:rPr>
        <w:t>he will</w:t>
      </w:r>
      <w:r w:rsidRPr="2489725C">
        <w:rPr>
          <w:lang w:val="en-GB"/>
        </w:rPr>
        <w:t xml:space="preserve"> continue in the core group of this WG. This means that we four will for the time being </w:t>
      </w:r>
      <w:proofErr w:type="gramStart"/>
      <w:r w:rsidRPr="2489725C">
        <w:rPr>
          <w:lang w:val="en-GB"/>
        </w:rPr>
        <w:t>try</w:t>
      </w:r>
      <w:proofErr w:type="gramEnd"/>
      <w:r w:rsidRPr="2489725C">
        <w:rPr>
          <w:lang w:val="en-GB"/>
        </w:rPr>
        <w:t xml:space="preserve"> to get us forward.</w:t>
      </w:r>
    </w:p>
    <w:p w14:paraId="3930CAF5" w14:textId="77777777" w:rsidR="00F524E1" w:rsidRPr="00263FFD" w:rsidRDefault="00F524E1" w:rsidP="00F524E1">
      <w:pPr>
        <w:rPr>
          <w:lang w:val="en-GB"/>
        </w:rPr>
      </w:pPr>
    </w:p>
    <w:p w14:paraId="4FE19DB3" w14:textId="0197BA5B" w:rsidR="007E1BF2" w:rsidRPr="00263FFD" w:rsidRDefault="781829DD" w:rsidP="2489725C">
      <w:pPr>
        <w:rPr>
          <w:lang w:val="en-GB"/>
        </w:rPr>
      </w:pPr>
      <w:r w:rsidRPr="2489725C">
        <w:rPr>
          <w:lang w:val="en-GB"/>
        </w:rPr>
        <w:t>I</w:t>
      </w:r>
      <w:r w:rsidR="330AF213" w:rsidRPr="2489725C">
        <w:rPr>
          <w:lang w:val="en-GB"/>
        </w:rPr>
        <w:t>t can also be</w:t>
      </w:r>
      <w:r w:rsidRPr="2489725C">
        <w:rPr>
          <w:lang w:val="en-GB"/>
        </w:rPr>
        <w:t xml:space="preserve"> inform</w:t>
      </w:r>
      <w:r w:rsidR="2E71D1D4" w:rsidRPr="2489725C">
        <w:rPr>
          <w:lang w:val="en-GB"/>
        </w:rPr>
        <w:t>ed</w:t>
      </w:r>
      <w:r w:rsidRPr="2489725C">
        <w:rPr>
          <w:lang w:val="en-GB"/>
        </w:rPr>
        <w:t xml:space="preserve"> that our paper on ‘What should an actuary know of AI’ is in its final stages. While the final draft (attached) is exposed to the members of the </w:t>
      </w:r>
      <w:proofErr w:type="spellStart"/>
      <w:r w:rsidRPr="2489725C">
        <w:rPr>
          <w:lang w:val="en-GB"/>
        </w:rPr>
        <w:t>ProfC</w:t>
      </w:r>
      <w:proofErr w:type="spellEnd"/>
      <w:r w:rsidRPr="2489725C">
        <w:rPr>
          <w:lang w:val="en-GB"/>
        </w:rPr>
        <w:t xml:space="preserve"> for a review it will soon proceed to the AAE Board review, after which it will </w:t>
      </w:r>
      <w:r w:rsidR="017B49C7" w:rsidRPr="2489725C">
        <w:rPr>
          <w:lang w:val="en-GB"/>
        </w:rPr>
        <w:t xml:space="preserve">soon </w:t>
      </w:r>
      <w:r w:rsidRPr="2489725C">
        <w:rPr>
          <w:lang w:val="en-GB"/>
        </w:rPr>
        <w:t>be published as an AAE paper.</w:t>
      </w:r>
    </w:p>
    <w:p w14:paraId="03B25B44" w14:textId="77777777" w:rsidR="007E1BF2" w:rsidRPr="00263FFD" w:rsidRDefault="007E1BF2" w:rsidP="00F524E1">
      <w:pPr>
        <w:rPr>
          <w:lang w:val="en-GB"/>
        </w:rPr>
      </w:pPr>
    </w:p>
    <w:p w14:paraId="508C27DC" w14:textId="7692DC65" w:rsidR="007E1BF2" w:rsidRPr="00263FFD" w:rsidRDefault="781829DD" w:rsidP="00F524E1">
      <w:pPr>
        <w:rPr>
          <w:lang w:val="en-GB"/>
        </w:rPr>
      </w:pPr>
      <w:r w:rsidRPr="2489725C">
        <w:rPr>
          <w:lang w:val="en-GB"/>
        </w:rPr>
        <w:t xml:space="preserve">In the Cologne meeting it was also noted that there are quite a few member associations, </w:t>
      </w:r>
      <w:r w:rsidR="302EF72E" w:rsidRPr="2489725C">
        <w:rPr>
          <w:lang w:val="en-GB"/>
        </w:rPr>
        <w:t>relevant to the topic</w:t>
      </w:r>
      <w:r w:rsidRPr="2489725C">
        <w:rPr>
          <w:lang w:val="en-GB"/>
        </w:rPr>
        <w:t xml:space="preserve">, </w:t>
      </w:r>
      <w:r w:rsidR="302EF72E" w:rsidRPr="2489725C">
        <w:rPr>
          <w:lang w:val="en-GB"/>
        </w:rPr>
        <w:t xml:space="preserve">not </w:t>
      </w:r>
      <w:r w:rsidR="2B376A15" w:rsidRPr="2489725C">
        <w:rPr>
          <w:lang w:val="en-GB"/>
        </w:rPr>
        <w:t xml:space="preserve">currently </w:t>
      </w:r>
      <w:r w:rsidR="302EF72E" w:rsidRPr="2489725C">
        <w:rPr>
          <w:lang w:val="en-GB"/>
        </w:rPr>
        <w:t>active</w:t>
      </w:r>
      <w:r w:rsidRPr="2489725C">
        <w:rPr>
          <w:lang w:val="en-GB"/>
        </w:rPr>
        <w:t xml:space="preserve"> in this WG. The WG needs to do whatever is possible to have these associations integrated into </w:t>
      </w:r>
      <w:r w:rsidR="58B22444" w:rsidRPr="2489725C">
        <w:rPr>
          <w:lang w:val="en-GB"/>
        </w:rPr>
        <w:t>our</w:t>
      </w:r>
      <w:r w:rsidRPr="2489725C">
        <w:rPr>
          <w:lang w:val="en-GB"/>
        </w:rPr>
        <w:t xml:space="preserve"> work.</w:t>
      </w:r>
      <w:r w:rsidR="27919BC2" w:rsidRPr="2489725C">
        <w:rPr>
          <w:lang w:val="en-GB"/>
        </w:rPr>
        <w:t xml:space="preserve"> One possibility will be to have separate meetings with a handful of associations.</w:t>
      </w:r>
      <w:r w:rsidR="47AEDD45" w:rsidRPr="2489725C">
        <w:rPr>
          <w:lang w:val="en-GB"/>
        </w:rPr>
        <w:t xml:space="preserve"> We could also check the possibility of </w:t>
      </w:r>
      <w:r w:rsidR="69DC4F46" w:rsidRPr="2489725C">
        <w:rPr>
          <w:lang w:val="en-GB"/>
        </w:rPr>
        <w:t xml:space="preserve">the whole WG </w:t>
      </w:r>
      <w:r w:rsidR="47AEDD45" w:rsidRPr="2489725C">
        <w:rPr>
          <w:lang w:val="en-GB"/>
        </w:rPr>
        <w:t>meeting face-to-face in connection to the AAE spring meetings.</w:t>
      </w:r>
    </w:p>
    <w:p w14:paraId="7E55ED46" w14:textId="77777777" w:rsidR="007E1BF2" w:rsidRPr="00263FFD" w:rsidRDefault="007E1BF2" w:rsidP="00F524E1">
      <w:pPr>
        <w:rPr>
          <w:lang w:val="en-GB"/>
        </w:rPr>
      </w:pPr>
    </w:p>
    <w:p w14:paraId="63835868" w14:textId="7646A755" w:rsidR="007E1BF2" w:rsidRPr="00263FFD" w:rsidRDefault="781829DD" w:rsidP="00F524E1">
      <w:pPr>
        <w:rPr>
          <w:lang w:val="en-GB"/>
        </w:rPr>
      </w:pPr>
      <w:proofErr w:type="gramStart"/>
      <w:r w:rsidRPr="2489725C">
        <w:rPr>
          <w:lang w:val="en-GB"/>
        </w:rPr>
        <w:t>This being said, it</w:t>
      </w:r>
      <w:proofErr w:type="gramEnd"/>
      <w:r w:rsidRPr="2489725C">
        <w:rPr>
          <w:lang w:val="en-GB"/>
        </w:rPr>
        <w:t xml:space="preserve"> is time to think what our WG should do in the future. Our leadership team has collected the following ideas to be discussed in our next meeting. </w:t>
      </w:r>
      <w:r w:rsidR="2328BDBE" w:rsidRPr="2489725C">
        <w:rPr>
          <w:lang w:val="en-GB"/>
        </w:rPr>
        <w:t xml:space="preserve">The discussion should not be limited to these ideas and the formulated scope. </w:t>
      </w:r>
      <w:r w:rsidRPr="2489725C">
        <w:rPr>
          <w:lang w:val="en-GB"/>
        </w:rPr>
        <w:t xml:space="preserve">Rather the idea is to initiate </w:t>
      </w:r>
      <w:r w:rsidR="2328BDBE" w:rsidRPr="2489725C">
        <w:rPr>
          <w:lang w:val="en-GB"/>
        </w:rPr>
        <w:t xml:space="preserve">the </w:t>
      </w:r>
      <w:r w:rsidRPr="2489725C">
        <w:rPr>
          <w:lang w:val="en-GB"/>
        </w:rPr>
        <w:t xml:space="preserve">discussion – </w:t>
      </w:r>
      <w:r w:rsidR="2328BDBE" w:rsidRPr="2489725C">
        <w:rPr>
          <w:lang w:val="en-GB"/>
        </w:rPr>
        <w:t>and the core is</w:t>
      </w:r>
      <w:r w:rsidRPr="2489725C">
        <w:rPr>
          <w:lang w:val="en-GB"/>
        </w:rPr>
        <w:t xml:space="preserve"> to identify </w:t>
      </w:r>
      <w:r w:rsidR="2328BDBE" w:rsidRPr="2489725C">
        <w:rPr>
          <w:lang w:val="en-GB"/>
        </w:rPr>
        <w:t xml:space="preserve">initial </w:t>
      </w:r>
      <w:r w:rsidRPr="2489725C">
        <w:rPr>
          <w:lang w:val="en-GB"/>
        </w:rPr>
        <w:t xml:space="preserve">areas where we can add value </w:t>
      </w:r>
      <w:r w:rsidR="2328BDBE" w:rsidRPr="2489725C">
        <w:rPr>
          <w:lang w:val="en-GB"/>
        </w:rPr>
        <w:t>to the actuarial profession. Subsequently, the WG will start working on these areas</w:t>
      </w:r>
      <w:r w:rsidR="3D81179B" w:rsidRPr="2489725C">
        <w:rPr>
          <w:lang w:val="en-GB"/>
        </w:rPr>
        <w:t xml:space="preserve">, provided we have active members to </w:t>
      </w:r>
      <w:r w:rsidR="467E28A7" w:rsidRPr="2489725C">
        <w:rPr>
          <w:lang w:val="en-GB"/>
        </w:rPr>
        <w:t>work on one or the other topic.</w:t>
      </w:r>
    </w:p>
    <w:p w14:paraId="300C8174" w14:textId="77777777" w:rsidR="00C044CF" w:rsidRPr="00263FFD" w:rsidRDefault="00C044CF" w:rsidP="00F524E1">
      <w:pPr>
        <w:rPr>
          <w:lang w:val="en-GB"/>
        </w:rPr>
      </w:pPr>
    </w:p>
    <w:p w14:paraId="226C0FFC" w14:textId="36B7DC62" w:rsidR="00C044CF" w:rsidRPr="00263FFD" w:rsidRDefault="2328BDBE" w:rsidP="00F524E1">
      <w:pPr>
        <w:rPr>
          <w:lang w:val="en-GB"/>
        </w:rPr>
      </w:pPr>
      <w:r w:rsidRPr="2489725C">
        <w:rPr>
          <w:lang w:val="en-GB"/>
        </w:rPr>
        <w:t>Therefore, t</w:t>
      </w:r>
      <w:r w:rsidR="286D319C" w:rsidRPr="2489725C">
        <w:rPr>
          <w:lang w:val="en-GB"/>
        </w:rPr>
        <w:t xml:space="preserve">he leadership team would like to highlight the scope of the working group – Section 1, as well as identifying some interesting first topics to work on – Section 2. </w:t>
      </w:r>
    </w:p>
    <w:p w14:paraId="5361F331" w14:textId="6F99B31F" w:rsidR="00684396" w:rsidRPr="00263FFD" w:rsidRDefault="00684396" w:rsidP="00DA7311">
      <w:pPr>
        <w:spacing w:after="160" w:line="259" w:lineRule="auto"/>
        <w:rPr>
          <w:lang w:val="en-GB"/>
        </w:rPr>
        <w:sectPr w:rsidR="00684396" w:rsidRPr="00263FFD" w:rsidSect="00A256F7">
          <w:pgSz w:w="11906" w:h="16838"/>
          <w:pgMar w:top="1418" w:right="1134" w:bottom="1418" w:left="1134" w:header="709" w:footer="709" w:gutter="0"/>
          <w:cols w:space="708"/>
          <w:docGrid w:linePitch="360"/>
        </w:sectPr>
      </w:pPr>
    </w:p>
    <w:p w14:paraId="20882C84" w14:textId="780A3728" w:rsidR="00684396" w:rsidRPr="00263FFD" w:rsidRDefault="00684396" w:rsidP="2489725C">
      <w:pPr>
        <w:rPr>
          <w:lang w:val="en-GB"/>
        </w:rPr>
      </w:pPr>
    </w:p>
    <w:p w14:paraId="43A2FBA9" w14:textId="69241D96" w:rsidR="00684396" w:rsidRPr="00263FFD" w:rsidRDefault="00684396" w:rsidP="004F587B">
      <w:pPr>
        <w:pStyle w:val="Otsikko2"/>
        <w:numPr>
          <w:ilvl w:val="0"/>
          <w:numId w:val="7"/>
        </w:numPr>
      </w:pPr>
      <w:r>
        <w:t>Scope</w:t>
      </w:r>
    </w:p>
    <w:p w14:paraId="298FF6BC" w14:textId="77777777" w:rsidR="004F587B" w:rsidRPr="00263FFD" w:rsidRDefault="004F587B" w:rsidP="004F587B">
      <w:pPr>
        <w:rPr>
          <w:lang w:val="en-GB" w:eastAsia="en-US"/>
        </w:rPr>
      </w:pPr>
    </w:p>
    <w:tbl>
      <w:tblPr>
        <w:tblStyle w:val="TaulukkoRuudukko"/>
        <w:tblW w:w="15168" w:type="dxa"/>
        <w:tblInd w:w="-572" w:type="dxa"/>
        <w:tblLook w:val="04A0" w:firstRow="1" w:lastRow="0" w:firstColumn="1" w:lastColumn="0" w:noHBand="0" w:noVBand="1"/>
      </w:tblPr>
      <w:tblGrid>
        <w:gridCol w:w="384"/>
        <w:gridCol w:w="7254"/>
        <w:gridCol w:w="7530"/>
      </w:tblGrid>
      <w:tr w:rsidR="00684396" w:rsidRPr="00263FFD" w14:paraId="640C0208" w14:textId="77777777" w:rsidTr="2489725C">
        <w:trPr>
          <w:trHeight w:val="502"/>
        </w:trPr>
        <w:tc>
          <w:tcPr>
            <w:tcW w:w="384" w:type="dxa"/>
            <w:tcBorders>
              <w:top w:val="dotted" w:sz="4" w:space="0" w:color="auto"/>
              <w:left w:val="dotted" w:sz="4" w:space="0" w:color="auto"/>
              <w:bottom w:val="dotted" w:sz="4" w:space="0" w:color="auto"/>
              <w:right w:val="nil"/>
            </w:tcBorders>
          </w:tcPr>
          <w:p w14:paraId="22C01C64" w14:textId="77777777" w:rsidR="00684396" w:rsidRPr="00263FFD" w:rsidRDefault="00684396" w:rsidP="00B23EA3">
            <w:pPr>
              <w:pStyle w:val="Otsikko2"/>
            </w:pPr>
          </w:p>
        </w:tc>
        <w:tc>
          <w:tcPr>
            <w:tcW w:w="7254" w:type="dxa"/>
            <w:tcBorders>
              <w:top w:val="nil"/>
              <w:left w:val="nil"/>
              <w:bottom w:val="nil"/>
              <w:right w:val="dotted" w:sz="4" w:space="0" w:color="auto"/>
            </w:tcBorders>
          </w:tcPr>
          <w:p w14:paraId="3F0DED56" w14:textId="77777777" w:rsidR="00684396" w:rsidRPr="00263FFD" w:rsidRDefault="00684396" w:rsidP="00B23EA3">
            <w:pPr>
              <w:pStyle w:val="Otsikko2"/>
            </w:pPr>
            <w:r>
              <w:t>Scope of the working group</w:t>
            </w:r>
          </w:p>
        </w:tc>
        <w:tc>
          <w:tcPr>
            <w:tcW w:w="7530" w:type="dxa"/>
            <w:tcBorders>
              <w:top w:val="nil"/>
              <w:left w:val="dotted" w:sz="4" w:space="0" w:color="auto"/>
              <w:bottom w:val="nil"/>
              <w:right w:val="nil"/>
            </w:tcBorders>
          </w:tcPr>
          <w:p w14:paraId="1456E140" w14:textId="77777777" w:rsidR="00684396" w:rsidRPr="00263FFD" w:rsidRDefault="00684396" w:rsidP="00B23EA3">
            <w:pPr>
              <w:pStyle w:val="Otsikko2"/>
            </w:pPr>
            <w:r>
              <w:t>Work to be done</w:t>
            </w:r>
          </w:p>
        </w:tc>
      </w:tr>
      <w:tr w:rsidR="00684396" w:rsidRPr="00082BDE" w14:paraId="186A76C6" w14:textId="77777777" w:rsidTr="2489725C">
        <w:trPr>
          <w:trHeight w:val="1415"/>
        </w:trPr>
        <w:tc>
          <w:tcPr>
            <w:tcW w:w="384" w:type="dxa"/>
            <w:tcBorders>
              <w:top w:val="dotted" w:sz="4" w:space="0" w:color="auto"/>
              <w:left w:val="dotted" w:sz="4" w:space="0" w:color="auto"/>
              <w:bottom w:val="dotted" w:sz="4" w:space="0" w:color="auto"/>
              <w:right w:val="dotted" w:sz="4" w:space="0" w:color="auto"/>
            </w:tcBorders>
          </w:tcPr>
          <w:p w14:paraId="3BB6C612" w14:textId="77777777" w:rsidR="00684396" w:rsidRPr="00263FFD" w:rsidRDefault="00684396" w:rsidP="00B23EA3">
            <w:pPr>
              <w:rPr>
                <w:lang w:val="en-GB"/>
              </w:rPr>
            </w:pPr>
          </w:p>
          <w:p w14:paraId="6DD98038" w14:textId="77777777" w:rsidR="00684396" w:rsidRPr="00263FFD" w:rsidRDefault="00684396" w:rsidP="00B23EA3">
            <w:pPr>
              <w:rPr>
                <w:lang w:val="en-GB"/>
              </w:rPr>
            </w:pPr>
            <w:r w:rsidRPr="2489725C">
              <w:rPr>
                <w:lang w:val="en-GB"/>
              </w:rPr>
              <w:t>1.</w:t>
            </w:r>
          </w:p>
        </w:tc>
        <w:tc>
          <w:tcPr>
            <w:tcW w:w="7254" w:type="dxa"/>
            <w:tcBorders>
              <w:top w:val="nil"/>
              <w:left w:val="dotted" w:sz="4" w:space="0" w:color="auto"/>
              <w:bottom w:val="dotted" w:sz="4" w:space="0" w:color="auto"/>
              <w:right w:val="dotted" w:sz="4" w:space="0" w:color="auto"/>
            </w:tcBorders>
          </w:tcPr>
          <w:p w14:paraId="4C18E2D3" w14:textId="77777777" w:rsidR="00684396" w:rsidRPr="00263FFD" w:rsidRDefault="00684396" w:rsidP="00B23EA3">
            <w:pPr>
              <w:rPr>
                <w:lang w:val="en-GB"/>
              </w:rPr>
            </w:pPr>
          </w:p>
          <w:p w14:paraId="71C28381" w14:textId="4804F329" w:rsidR="00684396" w:rsidRPr="00263FFD" w:rsidRDefault="00C66D92" w:rsidP="00B23EA3">
            <w:pPr>
              <w:rPr>
                <w:lang w:val="en-GB"/>
              </w:rPr>
            </w:pPr>
            <w:r w:rsidRPr="2489725C">
              <w:rPr>
                <w:lang w:val="en-GB"/>
              </w:rPr>
              <w:t>Provide guidance for actuaries</w:t>
            </w:r>
            <w:r w:rsidR="00684396" w:rsidRPr="2489725C">
              <w:rPr>
                <w:lang w:val="en-GB"/>
              </w:rPr>
              <w:t xml:space="preserve"> on relevant AI and Data driven topics, that are widely being discussed by member associations and European institutions.</w:t>
            </w:r>
          </w:p>
          <w:p w14:paraId="4E3BD74F" w14:textId="77777777" w:rsidR="00684396" w:rsidRPr="00263FFD" w:rsidRDefault="00684396" w:rsidP="00B23EA3">
            <w:pPr>
              <w:rPr>
                <w:lang w:val="en-GB"/>
              </w:rPr>
            </w:pPr>
          </w:p>
        </w:tc>
        <w:tc>
          <w:tcPr>
            <w:tcW w:w="7530" w:type="dxa"/>
            <w:tcBorders>
              <w:top w:val="nil"/>
              <w:left w:val="dotted" w:sz="4" w:space="0" w:color="auto"/>
              <w:bottom w:val="dotted" w:sz="4" w:space="0" w:color="auto"/>
              <w:right w:val="dotted" w:sz="4" w:space="0" w:color="auto"/>
            </w:tcBorders>
          </w:tcPr>
          <w:p w14:paraId="68BFDDD2" w14:textId="77777777" w:rsidR="00684396" w:rsidRPr="00263FFD" w:rsidRDefault="00684396" w:rsidP="00B23EA3">
            <w:pPr>
              <w:rPr>
                <w:lang w:val="en-GB"/>
              </w:rPr>
            </w:pPr>
          </w:p>
          <w:p w14:paraId="23AD9F40" w14:textId="77D4FC5E" w:rsidR="00684396" w:rsidRPr="00263FFD" w:rsidRDefault="00684396" w:rsidP="00B23EA3">
            <w:pPr>
              <w:rPr>
                <w:lang w:val="en-GB"/>
              </w:rPr>
            </w:pPr>
            <w:r w:rsidRPr="2489725C">
              <w:rPr>
                <w:lang w:val="en-GB"/>
              </w:rPr>
              <w:t xml:space="preserve">Continuously monitor and work on supporting material (i.e. discussion papers, actuarial standards etc.) that includes the latest developments within the </w:t>
            </w:r>
            <w:r w:rsidR="384D456F" w:rsidRPr="2489725C">
              <w:rPr>
                <w:lang w:val="en-GB"/>
              </w:rPr>
              <w:t>environment</w:t>
            </w:r>
            <w:r w:rsidRPr="2489725C">
              <w:rPr>
                <w:lang w:val="en-GB"/>
              </w:rPr>
              <w:t xml:space="preserve"> of AI. See </w:t>
            </w:r>
            <w:r w:rsidRPr="2489725C">
              <w:rPr>
                <w:i/>
                <w:iCs/>
                <w:lang w:val="en-GB"/>
              </w:rPr>
              <w:t>Section 2</w:t>
            </w:r>
            <w:r w:rsidRPr="2489725C">
              <w:rPr>
                <w:lang w:val="en-GB"/>
              </w:rPr>
              <w:t xml:space="preserve"> for a more detailed approach. </w:t>
            </w:r>
          </w:p>
          <w:p w14:paraId="1C8CA112" w14:textId="24D8D91C" w:rsidR="00942DDA" w:rsidRPr="00263FFD" w:rsidRDefault="0EB84082" w:rsidP="00B23EA3">
            <w:pPr>
              <w:rPr>
                <w:lang w:val="en-GB"/>
              </w:rPr>
            </w:pPr>
            <w:r w:rsidRPr="2489725C">
              <w:rPr>
                <w:lang w:val="en-GB"/>
              </w:rPr>
              <w:t xml:space="preserve">Facilitate webinars and interactive discussions. </w:t>
            </w:r>
          </w:p>
          <w:p w14:paraId="56C32B8C" w14:textId="77777777" w:rsidR="00684396" w:rsidRPr="00263FFD" w:rsidRDefault="00684396" w:rsidP="00B23EA3">
            <w:pPr>
              <w:rPr>
                <w:lang w:val="en-GB"/>
              </w:rPr>
            </w:pPr>
          </w:p>
        </w:tc>
      </w:tr>
      <w:tr w:rsidR="00684396" w:rsidRPr="00082BDE" w14:paraId="26EFF193" w14:textId="77777777" w:rsidTr="2489725C">
        <w:trPr>
          <w:trHeight w:val="928"/>
        </w:trPr>
        <w:tc>
          <w:tcPr>
            <w:tcW w:w="384" w:type="dxa"/>
            <w:tcBorders>
              <w:top w:val="dotted" w:sz="4" w:space="0" w:color="auto"/>
              <w:left w:val="dotted" w:sz="4" w:space="0" w:color="auto"/>
              <w:bottom w:val="dotted" w:sz="4" w:space="0" w:color="auto"/>
              <w:right w:val="dotted" w:sz="4" w:space="0" w:color="auto"/>
            </w:tcBorders>
          </w:tcPr>
          <w:p w14:paraId="475B4666" w14:textId="77777777" w:rsidR="00684396" w:rsidRPr="00263FFD" w:rsidRDefault="00684396" w:rsidP="00B23EA3">
            <w:pPr>
              <w:rPr>
                <w:lang w:val="en-GB"/>
              </w:rPr>
            </w:pPr>
          </w:p>
          <w:p w14:paraId="13A880F0" w14:textId="77777777" w:rsidR="00684396" w:rsidRPr="00263FFD" w:rsidRDefault="00684396" w:rsidP="00B23EA3">
            <w:pPr>
              <w:rPr>
                <w:lang w:val="en-GB"/>
              </w:rPr>
            </w:pPr>
            <w:r w:rsidRPr="2489725C">
              <w:rPr>
                <w:lang w:val="en-GB"/>
              </w:rPr>
              <w:t>2.</w:t>
            </w:r>
          </w:p>
        </w:tc>
        <w:tc>
          <w:tcPr>
            <w:tcW w:w="7254" w:type="dxa"/>
            <w:tcBorders>
              <w:top w:val="dotted" w:sz="4" w:space="0" w:color="auto"/>
              <w:left w:val="dotted" w:sz="4" w:space="0" w:color="auto"/>
              <w:bottom w:val="dotted" w:sz="4" w:space="0" w:color="auto"/>
              <w:right w:val="dotted" w:sz="4" w:space="0" w:color="auto"/>
            </w:tcBorders>
          </w:tcPr>
          <w:p w14:paraId="42672E69" w14:textId="77777777" w:rsidR="00684396" w:rsidRPr="00263FFD" w:rsidRDefault="00684396" w:rsidP="00B23EA3">
            <w:pPr>
              <w:rPr>
                <w:lang w:val="en-GB"/>
              </w:rPr>
            </w:pPr>
          </w:p>
          <w:p w14:paraId="0B6C46F8" w14:textId="77777777" w:rsidR="00684396" w:rsidRPr="00263FFD" w:rsidRDefault="00684396" w:rsidP="00B23EA3">
            <w:pPr>
              <w:rPr>
                <w:lang w:val="en-GB"/>
              </w:rPr>
            </w:pPr>
            <w:r w:rsidRPr="2489725C">
              <w:rPr>
                <w:lang w:val="en-GB"/>
              </w:rPr>
              <w:t xml:space="preserve">Ensure alignment with the guidelines and work done at an international level. </w:t>
            </w:r>
          </w:p>
          <w:p w14:paraId="53EB3CE2" w14:textId="77777777" w:rsidR="00684396" w:rsidRPr="00263FFD" w:rsidRDefault="00684396" w:rsidP="00B23EA3">
            <w:pPr>
              <w:rPr>
                <w:lang w:val="en-GB"/>
              </w:rPr>
            </w:pPr>
          </w:p>
        </w:tc>
        <w:tc>
          <w:tcPr>
            <w:tcW w:w="7530" w:type="dxa"/>
            <w:tcBorders>
              <w:top w:val="dotted" w:sz="4" w:space="0" w:color="auto"/>
              <w:left w:val="dotted" w:sz="4" w:space="0" w:color="auto"/>
              <w:bottom w:val="dotted" w:sz="4" w:space="0" w:color="auto"/>
              <w:right w:val="dotted" w:sz="4" w:space="0" w:color="auto"/>
            </w:tcBorders>
          </w:tcPr>
          <w:p w14:paraId="028B8B10" w14:textId="77777777" w:rsidR="00684396" w:rsidRPr="00263FFD" w:rsidRDefault="00684396" w:rsidP="00B23EA3">
            <w:pPr>
              <w:rPr>
                <w:lang w:val="en-GB"/>
              </w:rPr>
            </w:pPr>
          </w:p>
          <w:p w14:paraId="3E6299F0" w14:textId="712A7D33" w:rsidR="00684396" w:rsidRPr="00263FFD" w:rsidRDefault="00684396" w:rsidP="00B23EA3">
            <w:pPr>
              <w:rPr>
                <w:lang w:val="en-GB"/>
              </w:rPr>
            </w:pPr>
            <w:r w:rsidRPr="2489725C">
              <w:rPr>
                <w:lang w:val="en-GB"/>
              </w:rPr>
              <w:t xml:space="preserve">Engage with International Actuarial Association and associations outside Europe, </w:t>
            </w:r>
            <w:r w:rsidR="384D456F" w:rsidRPr="2489725C">
              <w:rPr>
                <w:lang w:val="en-GB"/>
              </w:rPr>
              <w:t>providing</w:t>
            </w:r>
            <w:r w:rsidRPr="2489725C">
              <w:rPr>
                <w:lang w:val="en-GB"/>
              </w:rPr>
              <w:t xml:space="preserve"> there will be alignment when discussing the topic of AI.</w:t>
            </w:r>
          </w:p>
          <w:p w14:paraId="67B85DB6" w14:textId="77777777" w:rsidR="00684396" w:rsidRPr="00263FFD" w:rsidRDefault="00684396" w:rsidP="00B23EA3">
            <w:pPr>
              <w:rPr>
                <w:lang w:val="en-GB"/>
              </w:rPr>
            </w:pPr>
          </w:p>
        </w:tc>
      </w:tr>
      <w:tr w:rsidR="00684396" w:rsidRPr="00263FFD" w14:paraId="622B7BD3" w14:textId="77777777" w:rsidTr="2489725C">
        <w:trPr>
          <w:trHeight w:val="288"/>
        </w:trPr>
        <w:tc>
          <w:tcPr>
            <w:tcW w:w="384" w:type="dxa"/>
            <w:tcBorders>
              <w:top w:val="dotted" w:sz="4" w:space="0" w:color="auto"/>
              <w:left w:val="dotted" w:sz="4" w:space="0" w:color="auto"/>
              <w:bottom w:val="dotted" w:sz="4" w:space="0" w:color="auto"/>
              <w:right w:val="dotted" w:sz="4" w:space="0" w:color="auto"/>
            </w:tcBorders>
          </w:tcPr>
          <w:p w14:paraId="5E1361CD" w14:textId="77777777" w:rsidR="00684396" w:rsidRPr="00263FFD" w:rsidRDefault="00684396" w:rsidP="00B23EA3">
            <w:pPr>
              <w:rPr>
                <w:lang w:val="en-GB"/>
              </w:rPr>
            </w:pPr>
          </w:p>
          <w:p w14:paraId="289BE7AA" w14:textId="77777777" w:rsidR="00684396" w:rsidRPr="00263FFD" w:rsidRDefault="00684396" w:rsidP="00B23EA3">
            <w:pPr>
              <w:rPr>
                <w:lang w:val="en-GB"/>
              </w:rPr>
            </w:pPr>
            <w:r w:rsidRPr="2489725C">
              <w:rPr>
                <w:lang w:val="en-GB"/>
              </w:rPr>
              <w:t>3.</w:t>
            </w:r>
          </w:p>
        </w:tc>
        <w:tc>
          <w:tcPr>
            <w:tcW w:w="7254" w:type="dxa"/>
            <w:tcBorders>
              <w:top w:val="dotted" w:sz="4" w:space="0" w:color="auto"/>
              <w:left w:val="dotted" w:sz="4" w:space="0" w:color="auto"/>
              <w:bottom w:val="dotted" w:sz="4" w:space="0" w:color="auto"/>
              <w:right w:val="dotted" w:sz="4" w:space="0" w:color="auto"/>
            </w:tcBorders>
          </w:tcPr>
          <w:p w14:paraId="001337B5" w14:textId="77777777" w:rsidR="00684396" w:rsidRPr="00263FFD" w:rsidRDefault="00684396" w:rsidP="00B23EA3">
            <w:pPr>
              <w:rPr>
                <w:lang w:val="en-GB"/>
              </w:rPr>
            </w:pPr>
          </w:p>
          <w:p w14:paraId="7C4CD126" w14:textId="76E639E2" w:rsidR="00684396" w:rsidRPr="00263FFD" w:rsidRDefault="00684396" w:rsidP="00B23EA3">
            <w:pPr>
              <w:rPr>
                <w:lang w:val="en-GB"/>
              </w:rPr>
            </w:pPr>
            <w:r w:rsidRPr="2489725C">
              <w:rPr>
                <w:lang w:val="en-GB"/>
              </w:rPr>
              <w:t xml:space="preserve">Integrate and support the AI work done by other committees of the AAE, including the Professionalism Committee. </w:t>
            </w:r>
          </w:p>
          <w:p w14:paraId="2A009A11" w14:textId="77777777" w:rsidR="00684396" w:rsidRPr="00263FFD" w:rsidRDefault="00684396" w:rsidP="00B23EA3">
            <w:pPr>
              <w:rPr>
                <w:lang w:val="en-GB"/>
              </w:rPr>
            </w:pPr>
          </w:p>
        </w:tc>
        <w:tc>
          <w:tcPr>
            <w:tcW w:w="7530" w:type="dxa"/>
            <w:tcBorders>
              <w:top w:val="dotted" w:sz="4" w:space="0" w:color="auto"/>
              <w:left w:val="dotted" w:sz="4" w:space="0" w:color="auto"/>
              <w:bottom w:val="dotted" w:sz="4" w:space="0" w:color="auto"/>
              <w:right w:val="dotted" w:sz="4" w:space="0" w:color="auto"/>
            </w:tcBorders>
          </w:tcPr>
          <w:p w14:paraId="742337A5" w14:textId="77777777" w:rsidR="00684396" w:rsidRPr="00263FFD" w:rsidRDefault="00684396" w:rsidP="00B23EA3">
            <w:pPr>
              <w:rPr>
                <w:lang w:val="en-GB"/>
              </w:rPr>
            </w:pPr>
          </w:p>
          <w:p w14:paraId="061A9AFF" w14:textId="569A9466" w:rsidR="00684396" w:rsidRPr="00263FFD" w:rsidRDefault="00684396" w:rsidP="00B23EA3">
            <w:pPr>
              <w:rPr>
                <w:lang w:val="en-GB"/>
              </w:rPr>
            </w:pPr>
            <w:r w:rsidRPr="2489725C">
              <w:rPr>
                <w:lang w:val="en-GB"/>
              </w:rPr>
              <w:t xml:space="preserve">Initiate discussions with other AAE committees and monitor if there is need and/or if there is work being done on the topic of AI outside of the group.  Address the implications of AI on the actuarial profession, role of the actuary in emerging fields, education, and other relevant work. </w:t>
            </w:r>
            <w:r w:rsidR="005A5004" w:rsidRPr="2489725C">
              <w:rPr>
                <w:lang w:val="en-GB"/>
              </w:rPr>
              <w:t xml:space="preserve">See </w:t>
            </w:r>
            <w:r w:rsidR="005A5004" w:rsidRPr="2489725C">
              <w:rPr>
                <w:i/>
                <w:iCs/>
                <w:lang w:val="en-GB"/>
              </w:rPr>
              <w:t>Section 2</w:t>
            </w:r>
            <w:r w:rsidR="005A5004" w:rsidRPr="2489725C">
              <w:rPr>
                <w:lang w:val="en-GB"/>
              </w:rPr>
              <w:t xml:space="preserve"> for a more detailed approach.</w:t>
            </w:r>
          </w:p>
          <w:p w14:paraId="45B8EB66" w14:textId="77777777" w:rsidR="00684396" w:rsidRPr="00263FFD" w:rsidRDefault="00684396" w:rsidP="00B23EA3">
            <w:pPr>
              <w:rPr>
                <w:lang w:val="en-GB"/>
              </w:rPr>
            </w:pPr>
          </w:p>
        </w:tc>
      </w:tr>
      <w:tr w:rsidR="00684396" w:rsidRPr="00082BDE" w14:paraId="24C9B5B9" w14:textId="77777777" w:rsidTr="2489725C">
        <w:trPr>
          <w:trHeight w:val="288"/>
        </w:trPr>
        <w:tc>
          <w:tcPr>
            <w:tcW w:w="384" w:type="dxa"/>
            <w:tcBorders>
              <w:top w:val="dotted" w:sz="4" w:space="0" w:color="auto"/>
              <w:left w:val="dotted" w:sz="4" w:space="0" w:color="auto"/>
              <w:bottom w:val="dotted" w:sz="4" w:space="0" w:color="auto"/>
              <w:right w:val="dotted" w:sz="4" w:space="0" w:color="auto"/>
            </w:tcBorders>
          </w:tcPr>
          <w:p w14:paraId="393A2A57" w14:textId="77777777" w:rsidR="00684396" w:rsidRPr="00263FFD" w:rsidRDefault="00684396" w:rsidP="00B23EA3">
            <w:pPr>
              <w:rPr>
                <w:lang w:val="en-GB"/>
              </w:rPr>
            </w:pPr>
          </w:p>
          <w:p w14:paraId="07771989" w14:textId="77777777" w:rsidR="00684396" w:rsidRPr="00263FFD" w:rsidRDefault="00684396" w:rsidP="00B23EA3">
            <w:pPr>
              <w:rPr>
                <w:lang w:val="en-GB"/>
              </w:rPr>
            </w:pPr>
            <w:r w:rsidRPr="2489725C">
              <w:rPr>
                <w:lang w:val="en-GB"/>
              </w:rPr>
              <w:t>4.</w:t>
            </w:r>
          </w:p>
        </w:tc>
        <w:tc>
          <w:tcPr>
            <w:tcW w:w="7254" w:type="dxa"/>
            <w:tcBorders>
              <w:top w:val="dotted" w:sz="4" w:space="0" w:color="auto"/>
              <w:left w:val="dotted" w:sz="4" w:space="0" w:color="auto"/>
              <w:bottom w:val="dotted" w:sz="4" w:space="0" w:color="auto"/>
              <w:right w:val="dotted" w:sz="4" w:space="0" w:color="auto"/>
            </w:tcBorders>
          </w:tcPr>
          <w:p w14:paraId="7F1B4CA5" w14:textId="77777777" w:rsidR="00684396" w:rsidRPr="00263FFD" w:rsidRDefault="00684396" w:rsidP="00B23EA3">
            <w:pPr>
              <w:rPr>
                <w:lang w:val="en-GB"/>
              </w:rPr>
            </w:pPr>
          </w:p>
          <w:p w14:paraId="555858C4" w14:textId="77777777" w:rsidR="00684396" w:rsidRPr="00263FFD" w:rsidRDefault="00684396" w:rsidP="00B23EA3">
            <w:pPr>
              <w:rPr>
                <w:lang w:val="en-GB"/>
              </w:rPr>
            </w:pPr>
            <w:r w:rsidRPr="2489725C">
              <w:rPr>
                <w:lang w:val="en-GB"/>
              </w:rPr>
              <w:t xml:space="preserve">Form and coordinate sub-groups that will work on the topic of AI. </w:t>
            </w:r>
          </w:p>
          <w:p w14:paraId="395236BD" w14:textId="77777777" w:rsidR="00684396" w:rsidRPr="00263FFD" w:rsidRDefault="00684396" w:rsidP="00B23EA3">
            <w:pPr>
              <w:rPr>
                <w:lang w:val="en-GB"/>
              </w:rPr>
            </w:pPr>
          </w:p>
        </w:tc>
        <w:tc>
          <w:tcPr>
            <w:tcW w:w="7530" w:type="dxa"/>
            <w:tcBorders>
              <w:top w:val="dotted" w:sz="4" w:space="0" w:color="auto"/>
              <w:left w:val="dotted" w:sz="4" w:space="0" w:color="auto"/>
              <w:bottom w:val="dotted" w:sz="4" w:space="0" w:color="auto"/>
              <w:right w:val="dotted" w:sz="4" w:space="0" w:color="auto"/>
            </w:tcBorders>
          </w:tcPr>
          <w:p w14:paraId="220ABAD7" w14:textId="77777777" w:rsidR="00684396" w:rsidRPr="00263FFD" w:rsidRDefault="00684396" w:rsidP="00B23EA3">
            <w:pPr>
              <w:rPr>
                <w:lang w:val="en-GB"/>
              </w:rPr>
            </w:pPr>
          </w:p>
          <w:p w14:paraId="10AE9D34" w14:textId="77777777" w:rsidR="00684396" w:rsidRPr="00263FFD" w:rsidRDefault="00684396" w:rsidP="00B23EA3">
            <w:pPr>
              <w:rPr>
                <w:lang w:val="en-GB"/>
              </w:rPr>
            </w:pPr>
            <w:r w:rsidRPr="2489725C">
              <w:rPr>
                <w:lang w:val="en-GB"/>
              </w:rPr>
              <w:t xml:space="preserve">The work done by other committees or active members of the AAE can be initiated and coordinated by this working group.  </w:t>
            </w:r>
          </w:p>
          <w:p w14:paraId="15D1983A" w14:textId="77777777" w:rsidR="00684396" w:rsidRPr="00263FFD" w:rsidRDefault="00684396" w:rsidP="00B23EA3">
            <w:pPr>
              <w:rPr>
                <w:lang w:val="en-GB"/>
              </w:rPr>
            </w:pPr>
          </w:p>
        </w:tc>
      </w:tr>
      <w:tr w:rsidR="00684396" w:rsidRPr="00082BDE" w14:paraId="3136ED3D" w14:textId="77777777" w:rsidTr="2489725C">
        <w:trPr>
          <w:trHeight w:val="1095"/>
        </w:trPr>
        <w:tc>
          <w:tcPr>
            <w:tcW w:w="384" w:type="dxa"/>
            <w:tcBorders>
              <w:top w:val="dotted" w:sz="4" w:space="0" w:color="auto"/>
              <w:left w:val="dotted" w:sz="4" w:space="0" w:color="auto"/>
              <w:bottom w:val="dotted" w:sz="4" w:space="0" w:color="auto"/>
              <w:right w:val="dotted" w:sz="4" w:space="0" w:color="auto"/>
            </w:tcBorders>
          </w:tcPr>
          <w:p w14:paraId="694D4D13" w14:textId="77777777" w:rsidR="00684396" w:rsidRPr="00263FFD" w:rsidRDefault="00684396" w:rsidP="00B23EA3">
            <w:pPr>
              <w:rPr>
                <w:lang w:val="en-GB"/>
              </w:rPr>
            </w:pPr>
          </w:p>
          <w:p w14:paraId="5592CE0F" w14:textId="77777777" w:rsidR="00684396" w:rsidRPr="00263FFD" w:rsidRDefault="00684396" w:rsidP="00B23EA3">
            <w:pPr>
              <w:rPr>
                <w:lang w:val="en-GB"/>
              </w:rPr>
            </w:pPr>
            <w:r w:rsidRPr="2489725C">
              <w:rPr>
                <w:lang w:val="en-GB"/>
              </w:rPr>
              <w:t>5.</w:t>
            </w:r>
          </w:p>
        </w:tc>
        <w:tc>
          <w:tcPr>
            <w:tcW w:w="7254" w:type="dxa"/>
            <w:tcBorders>
              <w:top w:val="dotted" w:sz="4" w:space="0" w:color="auto"/>
              <w:left w:val="dotted" w:sz="4" w:space="0" w:color="auto"/>
              <w:bottom w:val="dotted" w:sz="4" w:space="0" w:color="auto"/>
              <w:right w:val="dotted" w:sz="4" w:space="0" w:color="auto"/>
            </w:tcBorders>
          </w:tcPr>
          <w:p w14:paraId="7BF7EE76" w14:textId="77777777" w:rsidR="00684396" w:rsidRPr="00263FFD" w:rsidRDefault="00684396" w:rsidP="00B23EA3">
            <w:pPr>
              <w:rPr>
                <w:lang w:val="en-GB"/>
              </w:rPr>
            </w:pPr>
          </w:p>
          <w:p w14:paraId="74588340" w14:textId="7CE58552" w:rsidR="00684396" w:rsidRPr="00263FFD" w:rsidRDefault="00684396" w:rsidP="004F587B">
            <w:pPr>
              <w:rPr>
                <w:lang w:val="en-GB"/>
              </w:rPr>
            </w:pPr>
            <w:r w:rsidRPr="2489725C">
              <w:rPr>
                <w:lang w:val="en-GB"/>
              </w:rPr>
              <w:t>Engage with supranational institutions</w:t>
            </w:r>
            <w:r w:rsidR="4E09251C" w:rsidRPr="2489725C">
              <w:rPr>
                <w:lang w:val="en-GB"/>
              </w:rPr>
              <w:t xml:space="preserve"> (together with the IAA)</w:t>
            </w:r>
            <w:r w:rsidRPr="2489725C">
              <w:rPr>
                <w:lang w:val="en-GB"/>
              </w:rPr>
              <w:t xml:space="preserve"> on the risks and opportunities</w:t>
            </w:r>
            <w:r w:rsidR="788187D0" w:rsidRPr="2489725C">
              <w:rPr>
                <w:lang w:val="en-GB"/>
              </w:rPr>
              <w:t xml:space="preserve"> related to AI and Data</w:t>
            </w:r>
            <w:r w:rsidRPr="2489725C">
              <w:rPr>
                <w:lang w:val="en-GB"/>
              </w:rPr>
              <w:t xml:space="preserve">, especially on the topics of guidance and </w:t>
            </w:r>
            <w:r w:rsidR="4951CBEA" w:rsidRPr="2489725C">
              <w:rPr>
                <w:lang w:val="en-GB"/>
              </w:rPr>
              <w:t>regulatory</w:t>
            </w:r>
            <w:r w:rsidRPr="2489725C">
              <w:rPr>
                <w:lang w:val="en-GB"/>
              </w:rPr>
              <w:t xml:space="preserve"> initiatives.</w:t>
            </w:r>
          </w:p>
        </w:tc>
        <w:tc>
          <w:tcPr>
            <w:tcW w:w="7530" w:type="dxa"/>
            <w:tcBorders>
              <w:top w:val="dotted" w:sz="4" w:space="0" w:color="auto"/>
              <w:left w:val="dotted" w:sz="4" w:space="0" w:color="auto"/>
              <w:bottom w:val="dotted" w:sz="4" w:space="0" w:color="auto"/>
              <w:right w:val="dotted" w:sz="4" w:space="0" w:color="auto"/>
            </w:tcBorders>
          </w:tcPr>
          <w:p w14:paraId="02B025C4" w14:textId="77777777" w:rsidR="00684396" w:rsidRPr="00263FFD" w:rsidRDefault="00684396" w:rsidP="00B23EA3">
            <w:pPr>
              <w:rPr>
                <w:lang w:val="en-GB"/>
              </w:rPr>
            </w:pPr>
          </w:p>
          <w:p w14:paraId="791B8E81" w14:textId="7D79FED0" w:rsidR="00684396" w:rsidRPr="00263FFD" w:rsidRDefault="00684396" w:rsidP="004F587B">
            <w:pPr>
              <w:rPr>
                <w:lang w:val="en-GB"/>
              </w:rPr>
            </w:pPr>
            <w:r w:rsidRPr="2489725C">
              <w:rPr>
                <w:lang w:val="en-GB"/>
              </w:rPr>
              <w:t xml:space="preserve">Monitor, and if necessary, provide feedback to European stakeholders that are actively providing guidance and regulatory frameworks on the topics of AI and Data. </w:t>
            </w:r>
            <w:r w:rsidR="4E6AA8F9" w:rsidRPr="2489725C">
              <w:rPr>
                <w:lang w:val="en-GB"/>
              </w:rPr>
              <w:t xml:space="preserve">Areas could be </w:t>
            </w:r>
            <w:r w:rsidRPr="2489725C">
              <w:rPr>
                <w:lang w:val="en-GB"/>
              </w:rPr>
              <w:t xml:space="preserve">Artificial Intelligence Act, Data Governance Act, Data Act, Digital Services Act, Digital Operational Resilience Act etc. </w:t>
            </w:r>
          </w:p>
        </w:tc>
      </w:tr>
    </w:tbl>
    <w:p w14:paraId="69F161E9" w14:textId="64C3F361" w:rsidR="00DA7311" w:rsidRPr="00263FFD" w:rsidRDefault="00DA7311" w:rsidP="00DA7311">
      <w:pPr>
        <w:rPr>
          <w:lang w:val="en-GB"/>
        </w:rPr>
      </w:pPr>
    </w:p>
    <w:p w14:paraId="4C5CB504" w14:textId="1562ABC1" w:rsidR="00DA7311" w:rsidRPr="00263FFD" w:rsidRDefault="2328BDBE" w:rsidP="00DA7311">
      <w:pPr>
        <w:rPr>
          <w:lang w:val="en-GB"/>
        </w:rPr>
      </w:pPr>
      <w:r w:rsidRPr="2489725C">
        <w:rPr>
          <w:lang w:val="en-GB"/>
        </w:rPr>
        <w:t>Prerequisites:</w:t>
      </w:r>
    </w:p>
    <w:p w14:paraId="0563D658" w14:textId="76AB23F9" w:rsidR="00DA7311" w:rsidRPr="00263FFD" w:rsidRDefault="753957DC" w:rsidP="004F587B">
      <w:pPr>
        <w:pStyle w:val="Luettelokappale"/>
        <w:numPr>
          <w:ilvl w:val="0"/>
          <w:numId w:val="8"/>
        </w:numPr>
        <w:rPr>
          <w:lang w:val="en-GB"/>
        </w:rPr>
      </w:pPr>
      <w:r w:rsidRPr="2489725C">
        <w:rPr>
          <w:lang w:val="en-GB"/>
        </w:rPr>
        <w:t xml:space="preserve">Engage member association – especially the ones working on this topic should delegate volunteers supporting the working </w:t>
      </w:r>
      <w:proofErr w:type="gramStart"/>
      <w:r w:rsidRPr="2489725C">
        <w:rPr>
          <w:lang w:val="en-GB"/>
        </w:rPr>
        <w:t>group</w:t>
      </w:r>
      <w:proofErr w:type="gramEnd"/>
    </w:p>
    <w:p w14:paraId="2E90DC21" w14:textId="3725BF47" w:rsidR="00DA7311" w:rsidRPr="00263FFD" w:rsidRDefault="753957DC" w:rsidP="005720AA">
      <w:pPr>
        <w:pStyle w:val="Luettelokappale"/>
        <w:numPr>
          <w:ilvl w:val="0"/>
          <w:numId w:val="8"/>
        </w:numPr>
        <w:rPr>
          <w:lang w:val="en-GB"/>
        </w:rPr>
        <w:sectPr w:rsidR="00DA7311" w:rsidRPr="00263FFD" w:rsidSect="00684396">
          <w:pgSz w:w="16838" w:h="11906" w:orient="landscape" w:code="9"/>
          <w:pgMar w:top="1134" w:right="1418" w:bottom="1134" w:left="1418" w:header="709" w:footer="709" w:gutter="0"/>
          <w:cols w:space="708"/>
          <w:docGrid w:linePitch="360"/>
        </w:sectPr>
      </w:pPr>
      <w:r w:rsidRPr="2489725C">
        <w:rPr>
          <w:lang w:val="en-GB"/>
        </w:rPr>
        <w:t>Plan in person working-group meetings, as part of the agenda of the AAE’s bi</w:t>
      </w:r>
      <w:r w:rsidR="29B2674C" w:rsidRPr="2489725C">
        <w:rPr>
          <w:lang w:val="en-GB"/>
        </w:rPr>
        <w:t>ann</w:t>
      </w:r>
      <w:r w:rsidRPr="2489725C">
        <w:rPr>
          <w:lang w:val="en-GB"/>
        </w:rPr>
        <w:t xml:space="preserve">ual meetings </w:t>
      </w:r>
    </w:p>
    <w:p w14:paraId="3B7659B0" w14:textId="084AF63D" w:rsidR="00AE658A" w:rsidRDefault="0EB84082" w:rsidP="00022ABE">
      <w:pPr>
        <w:pStyle w:val="Otsikko2"/>
        <w:numPr>
          <w:ilvl w:val="0"/>
          <w:numId w:val="7"/>
        </w:numPr>
        <w:ind w:left="567" w:hanging="283"/>
      </w:pPr>
      <w:r>
        <w:lastRenderedPageBreak/>
        <w:t>A list of t</w:t>
      </w:r>
      <w:r w:rsidR="00684396">
        <w:t>opics</w:t>
      </w:r>
      <w:r>
        <w:t xml:space="preserve"> to </w:t>
      </w:r>
      <w:proofErr w:type="gramStart"/>
      <w:r>
        <w:t>address</w:t>
      </w:r>
      <w:proofErr w:type="gramEnd"/>
    </w:p>
    <w:p w14:paraId="4D4CFDB8" w14:textId="77777777" w:rsidR="00022ABE" w:rsidRPr="00022ABE" w:rsidRDefault="00022ABE" w:rsidP="2489725C">
      <w:pPr>
        <w:rPr>
          <w:lang w:val="en-GB" w:eastAsia="en-US"/>
        </w:rPr>
      </w:pPr>
    </w:p>
    <w:p w14:paraId="12B2D09C" w14:textId="3ECC3768" w:rsidR="005A472E" w:rsidRPr="00AE658A" w:rsidRDefault="00AE658A" w:rsidP="2489725C">
      <w:pPr>
        <w:pStyle w:val="Otsikko2"/>
        <w:numPr>
          <w:ilvl w:val="1"/>
          <w:numId w:val="7"/>
        </w:numPr>
      </w:pPr>
      <w:r>
        <w:t xml:space="preserve">Guidance on relevant AI and data driven </w:t>
      </w:r>
      <w:proofErr w:type="gramStart"/>
      <w:r>
        <w:t>topics</w:t>
      </w:r>
      <w:proofErr w:type="gramEnd"/>
    </w:p>
    <w:p w14:paraId="5677FAE5" w14:textId="510F991E" w:rsidR="00F524E1" w:rsidRPr="00263FFD" w:rsidRDefault="0EB84082" w:rsidP="2489725C">
      <w:pPr>
        <w:pStyle w:val="Luettelokappale"/>
        <w:numPr>
          <w:ilvl w:val="0"/>
          <w:numId w:val="4"/>
        </w:numPr>
        <w:rPr>
          <w:rFonts w:eastAsia="Calibri"/>
          <w:lang w:val="en-GB"/>
        </w:rPr>
      </w:pPr>
      <w:r w:rsidRPr="2489725C">
        <w:rPr>
          <w:lang w:val="en-GB"/>
        </w:rPr>
        <w:t>C</w:t>
      </w:r>
      <w:r w:rsidR="0134FEF9" w:rsidRPr="2489725C">
        <w:rPr>
          <w:lang w:val="en-GB"/>
        </w:rPr>
        <w:t xml:space="preserve">reate actuarial content to Explainable Artificial Intelligence (XAI) framework (referring to discussions with EIOPA, there is demand for thoughts in this area, especially on how to add </w:t>
      </w:r>
      <w:proofErr w:type="spellStart"/>
      <w:r w:rsidR="0134FEF9" w:rsidRPr="2489725C">
        <w:rPr>
          <w:lang w:val="en-GB"/>
        </w:rPr>
        <w:t>explainability</w:t>
      </w:r>
      <w:proofErr w:type="spellEnd"/>
      <w:r w:rsidR="0134FEF9" w:rsidRPr="2489725C">
        <w:rPr>
          <w:lang w:val="en-GB"/>
        </w:rPr>
        <w:t xml:space="preserve"> to what is required by the forthcoming European Artificial Intelligence Act</w:t>
      </w:r>
      <w:r w:rsidR="3BF9D529" w:rsidRPr="2489725C">
        <w:rPr>
          <w:lang w:val="en-GB"/>
        </w:rPr>
        <w:t>)</w:t>
      </w:r>
      <w:r w:rsidR="0134FEF9" w:rsidRPr="2489725C">
        <w:rPr>
          <w:lang w:val="en-GB"/>
        </w:rPr>
        <w:t>. Some content on this is already included in our ‘What Should an Actuary Know of AI’ paper but we need to dig deeper on the topic to add value to the discussion. After all, who is better placed in developing the concept than us actuaries?</w:t>
      </w:r>
    </w:p>
    <w:p w14:paraId="51662566" w14:textId="77777777" w:rsidR="00684396" w:rsidRPr="00263FFD" w:rsidRDefault="00684396" w:rsidP="00684396">
      <w:pPr>
        <w:pStyle w:val="Luettelokappale"/>
        <w:rPr>
          <w:lang w:val="en-GB"/>
        </w:rPr>
      </w:pPr>
    </w:p>
    <w:p w14:paraId="6E60F80F" w14:textId="305004C8" w:rsidR="0013189E" w:rsidRDefault="0013189E" w:rsidP="0013189E">
      <w:pPr>
        <w:pStyle w:val="Luettelokappale"/>
        <w:numPr>
          <w:ilvl w:val="0"/>
          <w:numId w:val="3"/>
        </w:numPr>
        <w:rPr>
          <w:rFonts w:eastAsia="Times New Roman"/>
          <w:lang w:val="en-GB"/>
        </w:rPr>
      </w:pPr>
      <w:r w:rsidRPr="2489725C">
        <w:rPr>
          <w:rFonts w:eastAsia="Times New Roman"/>
          <w:lang w:val="en-GB" w:eastAsia="en-US"/>
        </w:rPr>
        <w:t xml:space="preserve">While XAI is certainly one area that connects to the AI Act we should look at AI Act more broadly, i.e., how this horizontal piece of regulation gets more bones around the flesh (sic!) in the financial/insurance/pensions </w:t>
      </w:r>
      <w:proofErr w:type="gramStart"/>
      <w:r w:rsidRPr="2489725C">
        <w:rPr>
          <w:rFonts w:eastAsia="Times New Roman"/>
          <w:lang w:val="en-GB" w:eastAsia="en-US"/>
        </w:rPr>
        <w:t>sector</w:t>
      </w:r>
      <w:proofErr w:type="gramEnd"/>
    </w:p>
    <w:p w14:paraId="090735D7" w14:textId="77777777" w:rsidR="0013189E" w:rsidRPr="00263FFD" w:rsidRDefault="0013189E" w:rsidP="2489725C">
      <w:pPr>
        <w:pStyle w:val="Luettelokappale"/>
        <w:rPr>
          <w:rFonts w:eastAsia="Times New Roman"/>
          <w:lang w:val="en-GB"/>
        </w:rPr>
      </w:pPr>
    </w:p>
    <w:p w14:paraId="0CA1A3E2" w14:textId="7FAD813C" w:rsidR="00684396" w:rsidRPr="00263FFD" w:rsidRDefault="00684396" w:rsidP="00684396">
      <w:pPr>
        <w:pStyle w:val="Luettelokappale"/>
        <w:numPr>
          <w:ilvl w:val="0"/>
          <w:numId w:val="4"/>
        </w:numPr>
        <w:rPr>
          <w:lang w:val="en-GB"/>
        </w:rPr>
      </w:pPr>
      <w:r w:rsidRPr="2489725C">
        <w:rPr>
          <w:lang w:val="en-GB"/>
        </w:rPr>
        <w:t xml:space="preserve">Research the </w:t>
      </w:r>
      <w:r w:rsidR="0134FEF9" w:rsidRPr="2489725C">
        <w:rPr>
          <w:lang w:val="en-GB"/>
        </w:rPr>
        <w:t>feasibility of the</w:t>
      </w:r>
      <w:r w:rsidRPr="2489725C">
        <w:rPr>
          <w:lang w:val="en-GB"/>
        </w:rPr>
        <w:t xml:space="preserve"> </w:t>
      </w:r>
      <w:r w:rsidRPr="2489725C">
        <w:rPr>
          <w:b/>
          <w:bCs/>
          <w:lang w:val="en-GB"/>
        </w:rPr>
        <w:t>G</w:t>
      </w:r>
      <w:r w:rsidRPr="2489725C">
        <w:rPr>
          <w:lang w:val="en-GB"/>
        </w:rPr>
        <w:t>ener</w:t>
      </w:r>
      <w:r w:rsidR="093C9412" w:rsidRPr="2489725C">
        <w:rPr>
          <w:lang w:val="en-GB"/>
        </w:rPr>
        <w:t>a</w:t>
      </w:r>
      <w:r w:rsidRPr="2489725C">
        <w:rPr>
          <w:lang w:val="en-GB"/>
        </w:rPr>
        <w:t xml:space="preserve">tive </w:t>
      </w:r>
      <w:r w:rsidRPr="2489725C">
        <w:rPr>
          <w:b/>
          <w:bCs/>
          <w:lang w:val="en-GB"/>
        </w:rPr>
        <w:t>P</w:t>
      </w:r>
      <w:r w:rsidRPr="2489725C">
        <w:rPr>
          <w:lang w:val="en-GB"/>
        </w:rPr>
        <w:t xml:space="preserve">re-Trained </w:t>
      </w:r>
      <w:r w:rsidRPr="2489725C">
        <w:rPr>
          <w:b/>
          <w:bCs/>
          <w:lang w:val="en-GB"/>
        </w:rPr>
        <w:t>T</w:t>
      </w:r>
      <w:r w:rsidRPr="2489725C">
        <w:rPr>
          <w:lang w:val="en-GB"/>
        </w:rPr>
        <w:t>ra</w:t>
      </w:r>
      <w:r w:rsidR="04F1F08D" w:rsidRPr="2489725C">
        <w:rPr>
          <w:lang w:val="en-GB"/>
        </w:rPr>
        <w:t>ns</w:t>
      </w:r>
      <w:r w:rsidRPr="2489725C">
        <w:rPr>
          <w:lang w:val="en-GB"/>
        </w:rPr>
        <w:t>formers (GPTs), such as a</w:t>
      </w:r>
      <w:r w:rsidR="0134FEF9" w:rsidRPr="2489725C">
        <w:rPr>
          <w:lang w:val="en-GB"/>
        </w:rPr>
        <w:t xml:space="preserve"> concept of </w:t>
      </w:r>
      <w:r w:rsidR="3BF9D529" w:rsidRPr="2489725C">
        <w:rPr>
          <w:lang w:val="en-GB"/>
        </w:rPr>
        <w:t xml:space="preserve">an </w:t>
      </w:r>
      <w:proofErr w:type="spellStart"/>
      <w:r w:rsidR="0134FEF9" w:rsidRPr="2489725C">
        <w:rPr>
          <w:lang w:val="en-GB"/>
        </w:rPr>
        <w:t>ActuarialGPT</w:t>
      </w:r>
      <w:proofErr w:type="spellEnd"/>
      <w:r w:rsidRPr="2489725C">
        <w:rPr>
          <w:lang w:val="en-GB"/>
        </w:rPr>
        <w:t xml:space="preserve"> framework, or implementations alike. This can be seen as a Large Language Model</w:t>
      </w:r>
      <w:r w:rsidR="6B735ECB" w:rsidRPr="2489725C">
        <w:rPr>
          <w:lang w:val="en-GB"/>
        </w:rPr>
        <w:t xml:space="preserve"> </w:t>
      </w:r>
      <w:r w:rsidRPr="2489725C">
        <w:rPr>
          <w:lang w:val="en-GB"/>
        </w:rPr>
        <w:t>(</w:t>
      </w:r>
      <w:r w:rsidR="0134FEF9" w:rsidRPr="2489725C">
        <w:rPr>
          <w:lang w:val="en-GB"/>
        </w:rPr>
        <w:t>LLM</w:t>
      </w:r>
      <w:r w:rsidRPr="2489725C">
        <w:rPr>
          <w:lang w:val="en-GB"/>
        </w:rPr>
        <w:t>)</w:t>
      </w:r>
      <w:r w:rsidR="0134FEF9" w:rsidRPr="2489725C">
        <w:rPr>
          <w:lang w:val="en-GB"/>
        </w:rPr>
        <w:t xml:space="preserve"> </w:t>
      </w:r>
      <w:r w:rsidRPr="2489725C">
        <w:rPr>
          <w:lang w:val="en-GB"/>
        </w:rPr>
        <w:t xml:space="preserve">involving </w:t>
      </w:r>
      <w:r w:rsidR="0134FEF9" w:rsidRPr="2489725C">
        <w:rPr>
          <w:lang w:val="en-GB"/>
        </w:rPr>
        <w:t xml:space="preserve">actuarial work. LLM world seems to be proceeding from general purpose LLMs to sectorial targeted models (as the way of doing models </w:t>
      </w:r>
      <w:proofErr w:type="spellStart"/>
      <w:r w:rsidR="0134FEF9" w:rsidRPr="2489725C">
        <w:rPr>
          <w:lang w:val="en-GB"/>
        </w:rPr>
        <w:t>a.k.a</w:t>
      </w:r>
      <w:proofErr w:type="spellEnd"/>
      <w:r w:rsidR="0134FEF9" w:rsidRPr="2489725C">
        <w:rPr>
          <w:lang w:val="en-GB"/>
        </w:rPr>
        <w:t xml:space="preserve"> google financed by advertisers seems to be hitting the limits with exorbitant exponential</w:t>
      </w:r>
      <w:r w:rsidR="6590FA89" w:rsidRPr="2489725C">
        <w:rPr>
          <w:lang w:val="en-GB"/>
        </w:rPr>
        <w:t>ly increasing</w:t>
      </w:r>
      <w:r w:rsidR="0134FEF9" w:rsidRPr="2489725C">
        <w:rPr>
          <w:lang w:val="en-GB"/>
        </w:rPr>
        <w:t xml:space="preserve"> costs of creating new generations of LLM’s</w:t>
      </w:r>
      <w:r w:rsidR="39BC55D3" w:rsidRPr="2489725C">
        <w:rPr>
          <w:lang w:val="en-GB"/>
        </w:rPr>
        <w:t>)</w:t>
      </w:r>
    </w:p>
    <w:p w14:paraId="61AAE5AF" w14:textId="77777777" w:rsidR="007E29F6" w:rsidRPr="00263FFD" w:rsidRDefault="007E29F6" w:rsidP="007E29F6">
      <w:pPr>
        <w:pStyle w:val="Luettelokappale"/>
        <w:rPr>
          <w:lang w:val="en-GB"/>
        </w:rPr>
      </w:pPr>
    </w:p>
    <w:p w14:paraId="0E189F7B" w14:textId="49F228B4" w:rsidR="007E29F6" w:rsidRPr="00263FFD" w:rsidRDefault="384D456F" w:rsidP="00684396">
      <w:pPr>
        <w:pStyle w:val="Luettelokappale"/>
        <w:numPr>
          <w:ilvl w:val="0"/>
          <w:numId w:val="4"/>
        </w:numPr>
        <w:rPr>
          <w:lang w:val="en-GB"/>
        </w:rPr>
      </w:pPr>
      <w:r w:rsidRPr="2489725C">
        <w:rPr>
          <w:lang w:val="en-GB"/>
        </w:rPr>
        <w:t xml:space="preserve">Research the current state of how synthetic data is being used or applied within the sector, and how actuaries should deal with it, what are the implications on product propositions, risk estimation and reporting. </w:t>
      </w:r>
    </w:p>
    <w:p w14:paraId="08F3D0E5" w14:textId="77777777" w:rsidR="00684396" w:rsidRPr="00263FFD" w:rsidRDefault="00684396" w:rsidP="00684396">
      <w:pPr>
        <w:rPr>
          <w:lang w:val="en-GB"/>
        </w:rPr>
      </w:pPr>
    </w:p>
    <w:p w14:paraId="7BB4D112" w14:textId="77777777" w:rsidR="00896D6E" w:rsidRPr="00263FFD" w:rsidRDefault="00F524E1" w:rsidP="00F524E1">
      <w:pPr>
        <w:pStyle w:val="Luettelokappale"/>
        <w:numPr>
          <w:ilvl w:val="0"/>
          <w:numId w:val="2"/>
        </w:numPr>
        <w:rPr>
          <w:rFonts w:eastAsia="Times New Roman"/>
          <w:lang w:val="en-GB"/>
        </w:rPr>
      </w:pPr>
      <w:r w:rsidRPr="00263FFD">
        <w:rPr>
          <w:rFonts w:eastAsia="Times New Roman"/>
          <w:lang w:val="en-GB" w:eastAsia="en-US"/>
        </w:rPr>
        <w:t xml:space="preserve">Continue to work on </w:t>
      </w:r>
      <w:r w:rsidRPr="00263FFD">
        <w:rPr>
          <w:rFonts w:eastAsia="Times New Roman"/>
          <w:b/>
          <w:bCs/>
          <w:lang w:val="en-GB" w:eastAsia="en-US"/>
        </w:rPr>
        <w:t>“overarching topics”</w:t>
      </w:r>
      <w:r w:rsidRPr="00263FFD">
        <w:rPr>
          <w:rFonts w:eastAsia="Times New Roman"/>
          <w:lang w:val="en-GB" w:eastAsia="en-US"/>
        </w:rPr>
        <w:t xml:space="preserve"> that better shape the role of the actuary under AI and DS. E.g.</w:t>
      </w:r>
      <w:r w:rsidR="00867989" w:rsidRPr="00263FFD">
        <w:rPr>
          <w:rFonts w:eastAsia="Times New Roman"/>
          <w:lang w:val="en-GB" w:eastAsia="en-US"/>
        </w:rPr>
        <w:t>,</w:t>
      </w:r>
      <w:r w:rsidRPr="00263FFD">
        <w:rPr>
          <w:rFonts w:eastAsia="Times New Roman"/>
          <w:lang w:val="en-GB" w:eastAsia="en-US"/>
        </w:rPr>
        <w:t xml:space="preserve"> go deeper on selected topics from our current paper such as how AI/GenAI </w:t>
      </w:r>
      <w:proofErr w:type="gramStart"/>
      <w:r w:rsidRPr="00263FFD">
        <w:rPr>
          <w:rFonts w:eastAsia="Times New Roman"/>
          <w:lang w:val="en-GB" w:eastAsia="en-US"/>
        </w:rPr>
        <w:t>is</w:t>
      </w:r>
      <w:proofErr w:type="gramEnd"/>
      <w:r w:rsidRPr="00263FFD">
        <w:rPr>
          <w:rFonts w:eastAsia="Times New Roman"/>
          <w:lang w:val="en-GB" w:eastAsia="en-US"/>
        </w:rPr>
        <w:t xml:space="preserve"> </w:t>
      </w:r>
    </w:p>
    <w:p w14:paraId="3B851ACB" w14:textId="2D02E2C7" w:rsidR="00896D6E" w:rsidRPr="00263FFD" w:rsidRDefault="70A7F21D" w:rsidP="00896D6E">
      <w:pPr>
        <w:pStyle w:val="Luettelokappale"/>
        <w:numPr>
          <w:ilvl w:val="1"/>
          <w:numId w:val="2"/>
        </w:numPr>
        <w:rPr>
          <w:rFonts w:eastAsia="Times New Roman"/>
          <w:lang w:val="en-GB"/>
        </w:rPr>
      </w:pPr>
      <w:r w:rsidRPr="2489725C">
        <w:rPr>
          <w:rFonts w:eastAsia="Times New Roman"/>
          <w:lang w:val="en-GB" w:eastAsia="en-US"/>
        </w:rPr>
        <w:t xml:space="preserve">changing the risks that need to be managed </w:t>
      </w:r>
      <w:r w:rsidR="42AA3949" w:rsidRPr="2489725C">
        <w:rPr>
          <w:rFonts w:eastAsia="Times New Roman"/>
          <w:lang w:val="en-GB" w:eastAsia="en-US"/>
        </w:rPr>
        <w:t xml:space="preserve">by </w:t>
      </w:r>
      <w:r w:rsidR="0EB84082" w:rsidRPr="2489725C">
        <w:rPr>
          <w:rFonts w:eastAsia="Times New Roman"/>
          <w:lang w:val="en-GB" w:eastAsia="en-US"/>
        </w:rPr>
        <w:t xml:space="preserve">risk taking </w:t>
      </w:r>
      <w:proofErr w:type="gramStart"/>
      <w:r w:rsidR="0EB84082" w:rsidRPr="2489725C">
        <w:rPr>
          <w:rFonts w:eastAsia="Times New Roman"/>
          <w:lang w:val="en-GB" w:eastAsia="en-US"/>
        </w:rPr>
        <w:t>institutions</w:t>
      </w:r>
      <w:proofErr w:type="gramEnd"/>
      <w:r w:rsidRPr="2489725C">
        <w:rPr>
          <w:rFonts w:eastAsia="Times New Roman"/>
          <w:lang w:val="en-GB" w:eastAsia="en-US"/>
        </w:rPr>
        <w:t xml:space="preserve"> </w:t>
      </w:r>
    </w:p>
    <w:p w14:paraId="48742DB4" w14:textId="77777777" w:rsidR="00896D6E" w:rsidRPr="00263FFD" w:rsidRDefault="00F524E1" w:rsidP="00896D6E">
      <w:pPr>
        <w:pStyle w:val="Luettelokappale"/>
        <w:numPr>
          <w:ilvl w:val="1"/>
          <w:numId w:val="2"/>
        </w:numPr>
        <w:rPr>
          <w:rFonts w:eastAsia="Times New Roman"/>
          <w:lang w:val="en-GB"/>
        </w:rPr>
      </w:pPr>
      <w:r w:rsidRPr="00263FFD">
        <w:rPr>
          <w:rFonts w:eastAsia="Times New Roman"/>
          <w:lang w:val="en-GB" w:eastAsia="en-US"/>
        </w:rPr>
        <w:t xml:space="preserve">leading to new emerging risks, and </w:t>
      </w:r>
    </w:p>
    <w:p w14:paraId="0A8EB670" w14:textId="28963673" w:rsidR="00F524E1" w:rsidRDefault="70A7F21D" w:rsidP="00896D6E">
      <w:pPr>
        <w:pStyle w:val="Luettelokappale"/>
        <w:numPr>
          <w:ilvl w:val="1"/>
          <w:numId w:val="2"/>
        </w:numPr>
        <w:rPr>
          <w:rFonts w:eastAsia="Times New Roman"/>
          <w:lang w:val="en-GB"/>
        </w:rPr>
      </w:pPr>
      <w:r w:rsidRPr="2489725C">
        <w:rPr>
          <w:rFonts w:eastAsia="Times New Roman"/>
          <w:lang w:val="en-GB" w:eastAsia="en-US"/>
        </w:rPr>
        <w:t xml:space="preserve">changing how actuaries </w:t>
      </w:r>
      <w:r w:rsidR="0EB84082" w:rsidRPr="2489725C">
        <w:rPr>
          <w:rFonts w:eastAsia="Times New Roman"/>
          <w:lang w:val="en-GB" w:eastAsia="en-US"/>
        </w:rPr>
        <w:t xml:space="preserve">act and adopt </w:t>
      </w:r>
      <w:proofErr w:type="gramStart"/>
      <w:r w:rsidR="0EB84082" w:rsidRPr="2489725C">
        <w:rPr>
          <w:rFonts w:eastAsia="Times New Roman"/>
          <w:lang w:val="en-GB" w:eastAsia="en-US"/>
        </w:rPr>
        <w:t>AI</w:t>
      </w:r>
      <w:proofErr w:type="gramEnd"/>
    </w:p>
    <w:p w14:paraId="2281178F" w14:textId="77777777" w:rsidR="0013189E" w:rsidRDefault="0013189E" w:rsidP="0013189E">
      <w:pPr>
        <w:rPr>
          <w:rFonts w:eastAsia="Times New Roman"/>
          <w:lang w:val="en-GB"/>
        </w:rPr>
      </w:pPr>
    </w:p>
    <w:p w14:paraId="1F1442DE" w14:textId="4E8172C8" w:rsidR="00534ECD" w:rsidRPr="00263FFD" w:rsidRDefault="0DF76C69" w:rsidP="00534ECD">
      <w:pPr>
        <w:pStyle w:val="Luettelokappale"/>
        <w:numPr>
          <w:ilvl w:val="0"/>
          <w:numId w:val="3"/>
        </w:numPr>
        <w:rPr>
          <w:rFonts w:eastAsia="Times New Roman"/>
          <w:lang w:val="en-GB"/>
        </w:rPr>
      </w:pPr>
      <w:r w:rsidRPr="2489725C">
        <w:rPr>
          <w:rFonts w:eastAsia="Times New Roman"/>
          <w:lang w:val="en-GB" w:eastAsia="en-US"/>
        </w:rPr>
        <w:t xml:space="preserve">Address the topic of quantum computing as one of the next revolutionary concepts. Decide </w:t>
      </w:r>
      <w:r w:rsidR="5C742E88" w:rsidRPr="2489725C">
        <w:rPr>
          <w:rFonts w:eastAsia="Times New Roman"/>
          <w:lang w:val="en-GB" w:eastAsia="en-US"/>
        </w:rPr>
        <w:t xml:space="preserve">whether </w:t>
      </w:r>
      <w:r w:rsidRPr="2489725C">
        <w:rPr>
          <w:rFonts w:eastAsia="Times New Roman"/>
          <w:lang w:val="en-GB" w:eastAsia="en-US"/>
        </w:rPr>
        <w:t>this belongs into the scope of our group. Should actuaries be better in anticipating what becomes possible with quantum computing, as one can say actuaries were not ready for AI? At least most of today’s cryptography will become obsolete with quantum computing. But what are the actuarial challenges that have been impossible until now but and what will become possible with quantum computing?</w:t>
      </w:r>
    </w:p>
    <w:p w14:paraId="675609F3" w14:textId="77777777" w:rsidR="00534ECD" w:rsidRPr="00263FFD" w:rsidRDefault="00534ECD" w:rsidP="00534ECD">
      <w:pPr>
        <w:pStyle w:val="Luettelokappale"/>
        <w:rPr>
          <w:rFonts w:eastAsia="Times New Roman"/>
          <w:lang w:val="en-GB"/>
        </w:rPr>
      </w:pPr>
    </w:p>
    <w:p w14:paraId="6AC89E2B" w14:textId="47346775" w:rsidR="00534ECD" w:rsidRPr="00263FFD" w:rsidRDefault="0DF76C69" w:rsidP="00534ECD">
      <w:pPr>
        <w:pStyle w:val="Luettelokappale"/>
        <w:numPr>
          <w:ilvl w:val="0"/>
          <w:numId w:val="3"/>
        </w:numPr>
        <w:rPr>
          <w:rFonts w:eastAsia="Times New Roman"/>
          <w:lang w:val="en-GB"/>
        </w:rPr>
      </w:pPr>
      <w:r w:rsidRPr="2489725C">
        <w:rPr>
          <w:rFonts w:eastAsia="Times New Roman"/>
          <w:lang w:val="en-GB" w:eastAsia="en-US"/>
        </w:rPr>
        <w:t>David Hilbert presented early last century his list of mathematical problems to be solved. While</w:t>
      </w:r>
      <w:r w:rsidR="62DAC4EC" w:rsidRPr="2489725C">
        <w:rPr>
          <w:rFonts w:eastAsia="Times New Roman"/>
          <w:lang w:val="en-GB" w:eastAsia="en-US"/>
        </w:rPr>
        <w:t xml:space="preserve"> the</w:t>
      </w:r>
      <w:r w:rsidRPr="2489725C">
        <w:rPr>
          <w:rFonts w:eastAsia="Times New Roman"/>
          <w:lang w:val="en-GB" w:eastAsia="en-US"/>
        </w:rPr>
        <w:t xml:space="preserve"> Riemann hypothesis remains without proof most of Hilbert’s problems have been solved, and they have created a lot of excellent mathematical research. How about creating a Hilbert list of actuarial problems that are not yet solved, but could be solved with AI or quantum computing? How about proposing a topic to the next ECA for presenters to come up with problems to this list? A concern here is that we are using AI/DS to do quite mundane things (doing things faster/cheaper, but still things that have nothing fundamentally new), while we should use novel tools to do something revolutionary (like what has been done with AI in proteins where the folding was opened, or how AI has been used in medicine where a new antibiotic has apparently been found)</w:t>
      </w:r>
    </w:p>
    <w:p w14:paraId="293BFFD2" w14:textId="77777777" w:rsidR="0013189E" w:rsidRDefault="0013189E" w:rsidP="0013189E">
      <w:pPr>
        <w:rPr>
          <w:lang w:val="en-GB" w:eastAsia="en-US"/>
        </w:rPr>
      </w:pPr>
    </w:p>
    <w:p w14:paraId="3D40E188" w14:textId="0099C3A1" w:rsidR="0013189E" w:rsidRPr="0013189E" w:rsidRDefault="0013189E" w:rsidP="2489725C">
      <w:pPr>
        <w:pStyle w:val="Otsikko2"/>
        <w:numPr>
          <w:ilvl w:val="1"/>
          <w:numId w:val="9"/>
        </w:numPr>
      </w:pPr>
      <w:r>
        <w:lastRenderedPageBreak/>
        <w:t xml:space="preserve">Integrate and support the AI work done by other member committees of the </w:t>
      </w:r>
      <w:proofErr w:type="gramStart"/>
      <w:r>
        <w:t>AAE</w:t>
      </w:r>
      <w:proofErr w:type="gramEnd"/>
    </w:p>
    <w:p w14:paraId="1BD8A7BF" w14:textId="3E01CE80" w:rsidR="00F524E1" w:rsidRPr="00263FFD" w:rsidRDefault="0EB84082" w:rsidP="00F524E1">
      <w:pPr>
        <w:pStyle w:val="Luettelokappale"/>
        <w:numPr>
          <w:ilvl w:val="0"/>
          <w:numId w:val="3"/>
        </w:numPr>
        <w:rPr>
          <w:rFonts w:eastAsia="Times New Roman"/>
          <w:lang w:val="en-GB"/>
        </w:rPr>
      </w:pPr>
      <w:r w:rsidRPr="2489725C">
        <w:rPr>
          <w:rFonts w:eastAsia="Times New Roman"/>
          <w:lang w:val="en-GB" w:eastAsia="en-US"/>
        </w:rPr>
        <w:t>K</w:t>
      </w:r>
      <w:r w:rsidR="70A7F21D" w:rsidRPr="2489725C">
        <w:rPr>
          <w:rFonts w:eastAsia="Times New Roman"/>
          <w:lang w:val="en-GB" w:eastAsia="en-US"/>
        </w:rPr>
        <w:t>eep</w:t>
      </w:r>
      <w:r w:rsidR="39BC55D3" w:rsidRPr="2489725C">
        <w:rPr>
          <w:rFonts w:eastAsia="Times New Roman"/>
          <w:lang w:val="en-GB" w:eastAsia="en-US"/>
        </w:rPr>
        <w:t>ing</w:t>
      </w:r>
      <w:r w:rsidR="70A7F21D" w:rsidRPr="2489725C">
        <w:rPr>
          <w:rFonts w:eastAsia="Times New Roman"/>
          <w:lang w:val="en-GB" w:eastAsia="en-US"/>
        </w:rPr>
        <w:t xml:space="preserve"> other committees of the AAE duly informed and integrated</w:t>
      </w:r>
      <w:r w:rsidRPr="2489725C">
        <w:rPr>
          <w:rFonts w:eastAsia="Times New Roman"/>
          <w:lang w:val="en-GB" w:eastAsia="en-US"/>
        </w:rPr>
        <w:t xml:space="preserve">. Contribute on initiatives that involve professionalism, the education of an actuary, or other topics. </w:t>
      </w:r>
    </w:p>
    <w:p w14:paraId="1FEFF8DB" w14:textId="77777777" w:rsidR="00942DDA" w:rsidRPr="00263FFD" w:rsidRDefault="00942DDA" w:rsidP="00942DDA">
      <w:pPr>
        <w:pStyle w:val="Luettelokappale"/>
        <w:rPr>
          <w:rFonts w:eastAsia="Times New Roman"/>
          <w:lang w:val="en-GB"/>
        </w:rPr>
      </w:pPr>
    </w:p>
    <w:p w14:paraId="48F81800" w14:textId="1185372E" w:rsidR="00942DDA" w:rsidRPr="00263FFD" w:rsidRDefault="0EB84082" w:rsidP="00942DDA">
      <w:pPr>
        <w:pStyle w:val="Luettelokappale"/>
        <w:numPr>
          <w:ilvl w:val="0"/>
          <w:numId w:val="3"/>
        </w:numPr>
        <w:rPr>
          <w:rFonts w:eastAsia="Times New Roman"/>
          <w:lang w:val="en-GB"/>
        </w:rPr>
      </w:pPr>
      <w:r w:rsidRPr="00263FFD">
        <w:rPr>
          <w:rFonts w:eastAsia="Times New Roman"/>
          <w:lang w:val="en-GB" w:eastAsia="en-US"/>
        </w:rPr>
        <w:t>Initiate a discussion on</w:t>
      </w:r>
      <w:r w:rsidR="70A7F21D" w:rsidRPr="00263FFD">
        <w:rPr>
          <w:rFonts w:eastAsia="Times New Roman"/>
          <w:lang w:val="en-GB" w:eastAsia="en-US"/>
        </w:rPr>
        <w:t xml:space="preserve"> whether cyber risk belongs to us, or who would </w:t>
      </w:r>
      <w:r w:rsidRPr="00263FFD">
        <w:rPr>
          <w:rFonts w:eastAsia="Times New Roman"/>
          <w:lang w:val="en-GB" w:eastAsia="en-US"/>
        </w:rPr>
        <w:t>be responsible within</w:t>
      </w:r>
      <w:r w:rsidR="70A7F21D" w:rsidRPr="00263FFD">
        <w:rPr>
          <w:rFonts w:eastAsia="Times New Roman"/>
          <w:lang w:val="en-GB" w:eastAsia="en-US"/>
        </w:rPr>
        <w:t xml:space="preserve"> AAE</w:t>
      </w:r>
      <w:r w:rsidRPr="00263FFD">
        <w:rPr>
          <w:rFonts w:eastAsia="Times New Roman"/>
          <w:lang w:val="en-GB" w:eastAsia="en-US"/>
        </w:rPr>
        <w:t>. Specifically address here the topic of use of data and data security within the working group.</w:t>
      </w:r>
      <w:r w:rsidR="70A7F21D" w:rsidRPr="00263FFD">
        <w:rPr>
          <w:rFonts w:eastAsia="Times New Roman"/>
          <w:lang w:val="en-GB" w:eastAsia="en-US"/>
        </w:rPr>
        <w:t xml:space="preserve"> (see also recent paper by GA:</w:t>
      </w:r>
      <w:r w:rsidR="70A7F21D" w:rsidRPr="00263FFD">
        <w:rPr>
          <w:rFonts w:eastAsia="Times New Roman"/>
          <w:lang w:val="en-GB"/>
        </w:rPr>
        <w:t xml:space="preserve"> </w:t>
      </w:r>
      <w:hyperlink r:id="rId8" w:history="1">
        <w:r w:rsidR="70A7F21D" w:rsidRPr="00263FFD">
          <w:rPr>
            <w:rStyle w:val="Hyperlinkki"/>
            <w:rFonts w:eastAsia="Times New Roman"/>
            <w:lang w:val="en-GB"/>
          </w:rPr>
          <w:t>Cyber Risk Accumulation: Fully tackling the insurability challenge | The Geneva Association</w:t>
        </w:r>
      </w:hyperlink>
      <w:r w:rsidR="70A7F21D" w:rsidRPr="00263FFD">
        <w:rPr>
          <w:rFonts w:eastAsia="Times New Roman"/>
          <w:lang w:val="en-GB" w:eastAsia="en-US"/>
        </w:rPr>
        <w:t>)</w:t>
      </w:r>
    </w:p>
    <w:p w14:paraId="5D52B50A" w14:textId="77777777" w:rsidR="00942DDA" w:rsidRPr="00263FFD" w:rsidRDefault="00942DDA" w:rsidP="00942DDA">
      <w:pPr>
        <w:pStyle w:val="Luettelokappale"/>
        <w:rPr>
          <w:rFonts w:eastAsia="Times New Roman"/>
          <w:lang w:val="en-GB"/>
        </w:rPr>
      </w:pPr>
    </w:p>
    <w:p w14:paraId="74856FE5" w14:textId="2D882CDF" w:rsidR="00942DDA" w:rsidRPr="00263FFD" w:rsidRDefault="0EB84082" w:rsidP="2489725C">
      <w:pPr>
        <w:pStyle w:val="Luettelokappale"/>
        <w:numPr>
          <w:ilvl w:val="0"/>
          <w:numId w:val="3"/>
        </w:numPr>
        <w:rPr>
          <w:rFonts w:eastAsia="Calibri"/>
          <w:lang w:val="en-GB"/>
        </w:rPr>
      </w:pPr>
      <w:r w:rsidRPr="2489725C">
        <w:rPr>
          <w:rFonts w:eastAsia="Times New Roman"/>
          <w:lang w:val="en-GB"/>
        </w:rPr>
        <w:t xml:space="preserve">Start the discussion on which would be the first webinars to be included in our program throughout the year. </w:t>
      </w:r>
    </w:p>
    <w:p w14:paraId="533E60C8" w14:textId="77777777" w:rsidR="007E29F6" w:rsidRPr="00263FFD" w:rsidRDefault="007E29F6" w:rsidP="005720AA">
      <w:pPr>
        <w:pStyle w:val="Luettelokappale"/>
        <w:rPr>
          <w:rFonts w:eastAsia="Times New Roman"/>
          <w:lang w:val="en-GB"/>
        </w:rPr>
      </w:pPr>
    </w:p>
    <w:p w14:paraId="49D5080C" w14:textId="6F650B1F" w:rsidR="007E29F6" w:rsidRPr="00263FFD" w:rsidRDefault="384D456F" w:rsidP="00E4708D">
      <w:pPr>
        <w:pStyle w:val="Luettelokappale"/>
        <w:numPr>
          <w:ilvl w:val="0"/>
          <w:numId w:val="3"/>
        </w:numPr>
        <w:rPr>
          <w:rFonts w:eastAsia="Times New Roman"/>
          <w:lang w:val="en-GB"/>
        </w:rPr>
      </w:pPr>
      <w:r w:rsidRPr="2489725C">
        <w:rPr>
          <w:rFonts w:eastAsia="Times New Roman"/>
          <w:lang w:val="en-GB"/>
        </w:rPr>
        <w:t xml:space="preserve">Engage </w:t>
      </w:r>
      <w:r w:rsidR="0D05ADE5" w:rsidRPr="2489725C">
        <w:rPr>
          <w:rFonts w:eastAsia="Times New Roman"/>
          <w:lang w:val="en-GB"/>
        </w:rPr>
        <w:t xml:space="preserve">with </w:t>
      </w:r>
      <w:r w:rsidRPr="2489725C">
        <w:rPr>
          <w:rFonts w:eastAsia="Times New Roman"/>
          <w:lang w:val="en-GB"/>
        </w:rPr>
        <w:t xml:space="preserve">the Education committee and discuss the </w:t>
      </w:r>
      <w:proofErr w:type="gramStart"/>
      <w:r w:rsidRPr="2489725C">
        <w:rPr>
          <w:rFonts w:eastAsia="Times New Roman"/>
          <w:lang w:val="en-GB"/>
        </w:rPr>
        <w:t>current status</w:t>
      </w:r>
      <w:proofErr w:type="gramEnd"/>
      <w:r w:rsidRPr="2489725C">
        <w:rPr>
          <w:rFonts w:eastAsia="Times New Roman"/>
          <w:lang w:val="en-GB"/>
        </w:rPr>
        <w:t xml:space="preserve"> of the core syllabus. Young actuaries might </w:t>
      </w:r>
      <w:r w:rsidR="3EF2CFC6" w:rsidRPr="2489725C">
        <w:rPr>
          <w:rFonts w:eastAsia="Times New Roman"/>
          <w:lang w:val="en-GB"/>
        </w:rPr>
        <w:t>b</w:t>
      </w:r>
      <w:r w:rsidRPr="2489725C">
        <w:rPr>
          <w:rFonts w:eastAsia="Times New Roman"/>
          <w:lang w:val="en-GB"/>
        </w:rPr>
        <w:t>e literate with AI-DS, what about the o</w:t>
      </w:r>
      <w:r w:rsidR="440F6478" w:rsidRPr="2489725C">
        <w:rPr>
          <w:rFonts w:eastAsia="Times New Roman"/>
          <w:lang w:val="en-GB"/>
        </w:rPr>
        <w:t xml:space="preserve">lder </w:t>
      </w:r>
      <w:r w:rsidRPr="2489725C">
        <w:rPr>
          <w:rFonts w:eastAsia="Times New Roman"/>
          <w:lang w:val="en-GB"/>
        </w:rPr>
        <w:t>generations</w:t>
      </w:r>
      <w:r w:rsidR="3124D096" w:rsidRPr="2489725C">
        <w:rPr>
          <w:rFonts w:eastAsia="Times New Roman"/>
          <w:lang w:val="en-GB"/>
        </w:rPr>
        <w:t>, together with</w:t>
      </w:r>
      <w:r w:rsidRPr="2489725C">
        <w:rPr>
          <w:rFonts w:eastAsia="Times New Roman"/>
          <w:lang w:val="en-GB"/>
        </w:rPr>
        <w:t xml:space="preserve"> implications of AI within the CPD programmes?</w:t>
      </w:r>
    </w:p>
    <w:p w14:paraId="14BB98C6" w14:textId="77777777" w:rsidR="007E29F6" w:rsidRPr="00263FFD" w:rsidRDefault="007E29F6" w:rsidP="005720AA">
      <w:pPr>
        <w:pStyle w:val="Luettelokappale"/>
        <w:rPr>
          <w:rFonts w:eastAsia="Times New Roman"/>
          <w:lang w:val="en-GB"/>
        </w:rPr>
      </w:pPr>
    </w:p>
    <w:p w14:paraId="19067305" w14:textId="417EEF24" w:rsidR="007E29F6" w:rsidRPr="00263FFD" w:rsidRDefault="384D456F" w:rsidP="00E4708D">
      <w:pPr>
        <w:pStyle w:val="Luettelokappale"/>
        <w:numPr>
          <w:ilvl w:val="0"/>
          <w:numId w:val="3"/>
        </w:numPr>
        <w:rPr>
          <w:rFonts w:eastAsia="Times New Roman"/>
          <w:lang w:val="en-GB"/>
        </w:rPr>
      </w:pPr>
      <w:r w:rsidRPr="2489725C">
        <w:rPr>
          <w:rFonts w:eastAsia="Times New Roman"/>
          <w:lang w:val="en-GB"/>
        </w:rPr>
        <w:t>Have a first view of how AI is being considered within the actuarial standards documents, code</w:t>
      </w:r>
      <w:r w:rsidR="4559662A" w:rsidRPr="2489725C">
        <w:rPr>
          <w:rFonts w:eastAsia="Times New Roman"/>
          <w:lang w:val="en-GB"/>
        </w:rPr>
        <w:t>s</w:t>
      </w:r>
      <w:r w:rsidRPr="2489725C">
        <w:rPr>
          <w:rFonts w:eastAsia="Times New Roman"/>
          <w:lang w:val="en-GB"/>
        </w:rPr>
        <w:t xml:space="preserve"> of conduct or supportive material – does this lack the inclusion of AI, or is it already being considered? </w:t>
      </w:r>
    </w:p>
    <w:p w14:paraId="3A72BEDB" w14:textId="19DFD0B3" w:rsidR="008A7CD2" w:rsidRPr="00263FFD" w:rsidRDefault="008A7CD2" w:rsidP="2489725C">
      <w:pPr>
        <w:spacing w:before="100" w:beforeAutospacing="1" w:after="100" w:afterAutospacing="1"/>
        <w:rPr>
          <w:rFonts w:eastAsia="Calibri"/>
          <w:lang w:val="en-GB"/>
        </w:rPr>
      </w:pPr>
    </w:p>
    <w:sectPr w:rsidR="008A7CD2" w:rsidRPr="00263FFD" w:rsidSect="007E29F6">
      <w:pgSz w:w="11906" w:h="16838" w:code="9"/>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A6689"/>
    <w:multiLevelType w:val="multilevel"/>
    <w:tmpl w:val="0C0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D00D3D"/>
    <w:multiLevelType w:val="multilevel"/>
    <w:tmpl w:val="CC2A087C"/>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CF35603"/>
    <w:multiLevelType w:val="hybridMultilevel"/>
    <w:tmpl w:val="0554D582"/>
    <w:lvl w:ilvl="0" w:tplc="FFFFFFFF">
      <w:start w:val="20"/>
      <w:numFmt w:val="bullet"/>
      <w:lvlText w:val="-"/>
      <w:lvlJc w:val="left"/>
      <w:pPr>
        <w:ind w:left="720" w:hanging="360"/>
      </w:pPr>
      <w:rPr>
        <w:rFonts w:ascii="Calibri" w:hAnsi="Calibri"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3" w15:restartNumberingAfterBreak="0">
    <w:nsid w:val="2E59495D"/>
    <w:multiLevelType w:val="hybridMultilevel"/>
    <w:tmpl w:val="8580FDA0"/>
    <w:lvl w:ilvl="0" w:tplc="FFFFFFFF">
      <w:numFmt w:val="bullet"/>
      <w:lvlText w:val="-"/>
      <w:lvlJc w:val="left"/>
      <w:pPr>
        <w:ind w:left="720" w:hanging="360"/>
      </w:pPr>
      <w:rPr>
        <w:rFonts w:ascii="Calibri" w:hAnsi="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 w15:restartNumberingAfterBreak="0">
    <w:nsid w:val="321873D2"/>
    <w:multiLevelType w:val="hybridMultilevel"/>
    <w:tmpl w:val="C8D0706E"/>
    <w:lvl w:ilvl="0" w:tplc="108C2326">
      <w:start w:val="2"/>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1EE14D4"/>
    <w:multiLevelType w:val="hybridMultilevel"/>
    <w:tmpl w:val="0232A684"/>
    <w:lvl w:ilvl="0" w:tplc="FE6AC3FA">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15:restartNumberingAfterBreak="0">
    <w:nsid w:val="48AE7C8C"/>
    <w:multiLevelType w:val="hybridMultilevel"/>
    <w:tmpl w:val="7E1EA812"/>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67950B01"/>
    <w:multiLevelType w:val="multilevel"/>
    <w:tmpl w:val="A92C92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ECC4988"/>
    <w:multiLevelType w:val="hybridMultilevel"/>
    <w:tmpl w:val="5100E87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092966084">
    <w:abstractNumId w:val="7"/>
  </w:num>
  <w:num w:numId="2" w16cid:durableId="864169640">
    <w:abstractNumId w:val="5"/>
  </w:num>
  <w:num w:numId="3" w16cid:durableId="1106190387">
    <w:abstractNumId w:val="2"/>
  </w:num>
  <w:num w:numId="4" w16cid:durableId="1213153333">
    <w:abstractNumId w:val="3"/>
  </w:num>
  <w:num w:numId="5" w16cid:durableId="1683581754">
    <w:abstractNumId w:val="8"/>
  </w:num>
  <w:num w:numId="6" w16cid:durableId="1867863690">
    <w:abstractNumId w:val="6"/>
  </w:num>
  <w:num w:numId="7" w16cid:durableId="1698846793">
    <w:abstractNumId w:val="0"/>
  </w:num>
  <w:num w:numId="8" w16cid:durableId="1346907672">
    <w:abstractNumId w:val="4"/>
  </w:num>
  <w:num w:numId="9" w16cid:durableId="16438053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24E1"/>
    <w:rsid w:val="000109EA"/>
    <w:rsid w:val="00022ABE"/>
    <w:rsid w:val="00082BDE"/>
    <w:rsid w:val="000A4DB4"/>
    <w:rsid w:val="0013189E"/>
    <w:rsid w:val="00164CEC"/>
    <w:rsid w:val="002205FE"/>
    <w:rsid w:val="00263FFD"/>
    <w:rsid w:val="003E1EDB"/>
    <w:rsid w:val="004F02F0"/>
    <w:rsid w:val="004F587B"/>
    <w:rsid w:val="00534ECD"/>
    <w:rsid w:val="005720AA"/>
    <w:rsid w:val="005A472E"/>
    <w:rsid w:val="005A5004"/>
    <w:rsid w:val="00612B31"/>
    <w:rsid w:val="0063732C"/>
    <w:rsid w:val="00661773"/>
    <w:rsid w:val="00684396"/>
    <w:rsid w:val="006C7CF6"/>
    <w:rsid w:val="007A2BD0"/>
    <w:rsid w:val="007A3B45"/>
    <w:rsid w:val="007D7F5D"/>
    <w:rsid w:val="007E1BF2"/>
    <w:rsid w:val="007E29F6"/>
    <w:rsid w:val="00867989"/>
    <w:rsid w:val="00896D6E"/>
    <w:rsid w:val="008A7CD2"/>
    <w:rsid w:val="00912911"/>
    <w:rsid w:val="00942DDA"/>
    <w:rsid w:val="00A0F8FD"/>
    <w:rsid w:val="00A17500"/>
    <w:rsid w:val="00A256F7"/>
    <w:rsid w:val="00AD1C86"/>
    <w:rsid w:val="00AE658A"/>
    <w:rsid w:val="00C044CF"/>
    <w:rsid w:val="00C07DBE"/>
    <w:rsid w:val="00C66D92"/>
    <w:rsid w:val="00CE5034"/>
    <w:rsid w:val="00D20FAB"/>
    <w:rsid w:val="00DA7311"/>
    <w:rsid w:val="00E4708D"/>
    <w:rsid w:val="00E62A91"/>
    <w:rsid w:val="00F524E1"/>
    <w:rsid w:val="0134FEF9"/>
    <w:rsid w:val="017B49C7"/>
    <w:rsid w:val="04F1F08D"/>
    <w:rsid w:val="093C9412"/>
    <w:rsid w:val="0D05ADE5"/>
    <w:rsid w:val="0DF76C69"/>
    <w:rsid w:val="0EB84082"/>
    <w:rsid w:val="0F005E9C"/>
    <w:rsid w:val="100F0F59"/>
    <w:rsid w:val="1802F047"/>
    <w:rsid w:val="188E1885"/>
    <w:rsid w:val="19890CF1"/>
    <w:rsid w:val="1A3AE74F"/>
    <w:rsid w:val="1BDEE1A4"/>
    <w:rsid w:val="1DFEAB96"/>
    <w:rsid w:val="2052234A"/>
    <w:rsid w:val="2155FF7F"/>
    <w:rsid w:val="2328BDBE"/>
    <w:rsid w:val="2489725C"/>
    <w:rsid w:val="24C8B16C"/>
    <w:rsid w:val="2772DAF6"/>
    <w:rsid w:val="27919BC2"/>
    <w:rsid w:val="286D319C"/>
    <w:rsid w:val="29B2674C"/>
    <w:rsid w:val="2B376A15"/>
    <w:rsid w:val="2B4CF800"/>
    <w:rsid w:val="2CCFA004"/>
    <w:rsid w:val="2CF27B54"/>
    <w:rsid w:val="2E71D1D4"/>
    <w:rsid w:val="2E8498C2"/>
    <w:rsid w:val="302EF72E"/>
    <w:rsid w:val="3124D096"/>
    <w:rsid w:val="31280771"/>
    <w:rsid w:val="330AF213"/>
    <w:rsid w:val="333EE188"/>
    <w:rsid w:val="34167EBB"/>
    <w:rsid w:val="384D456F"/>
    <w:rsid w:val="39439F8C"/>
    <w:rsid w:val="39BC55D3"/>
    <w:rsid w:val="3BF9D529"/>
    <w:rsid w:val="3C6FCE31"/>
    <w:rsid w:val="3D81179B"/>
    <w:rsid w:val="3EF2CFC6"/>
    <w:rsid w:val="3F7079D3"/>
    <w:rsid w:val="3F755722"/>
    <w:rsid w:val="3F7F0A15"/>
    <w:rsid w:val="42AA3949"/>
    <w:rsid w:val="440F6478"/>
    <w:rsid w:val="44527B38"/>
    <w:rsid w:val="44F8C339"/>
    <w:rsid w:val="4559662A"/>
    <w:rsid w:val="45D7E7D0"/>
    <w:rsid w:val="464B3BF5"/>
    <w:rsid w:val="46689237"/>
    <w:rsid w:val="467E28A7"/>
    <w:rsid w:val="47AEDD45"/>
    <w:rsid w:val="492AB34A"/>
    <w:rsid w:val="4951CBEA"/>
    <w:rsid w:val="4A054A5B"/>
    <w:rsid w:val="4AB809C9"/>
    <w:rsid w:val="4DA781D6"/>
    <w:rsid w:val="4DF95D7E"/>
    <w:rsid w:val="4E09251C"/>
    <w:rsid w:val="4E6AA8F9"/>
    <w:rsid w:val="510E22F0"/>
    <w:rsid w:val="5445C3B2"/>
    <w:rsid w:val="5579B837"/>
    <w:rsid w:val="5894CC05"/>
    <w:rsid w:val="58B22444"/>
    <w:rsid w:val="5A90F159"/>
    <w:rsid w:val="5C742E88"/>
    <w:rsid w:val="5F5A8AA7"/>
    <w:rsid w:val="62DAC4EC"/>
    <w:rsid w:val="6362FA85"/>
    <w:rsid w:val="6590FA89"/>
    <w:rsid w:val="669A9B47"/>
    <w:rsid w:val="66EB7AD0"/>
    <w:rsid w:val="69DC4F46"/>
    <w:rsid w:val="6B735ECB"/>
    <w:rsid w:val="70A7F21D"/>
    <w:rsid w:val="72CCED94"/>
    <w:rsid w:val="74AE4B61"/>
    <w:rsid w:val="753957DC"/>
    <w:rsid w:val="769FBADE"/>
    <w:rsid w:val="77A05EB7"/>
    <w:rsid w:val="77E884BD"/>
    <w:rsid w:val="781829DD"/>
    <w:rsid w:val="788187D0"/>
    <w:rsid w:val="793C2F18"/>
    <w:rsid w:val="7A31B778"/>
    <w:rsid w:val="7A412CE2"/>
    <w:rsid w:val="7A4ADFD5"/>
    <w:rsid w:val="7BBBAAF2"/>
    <w:rsid w:val="7C73CFDA"/>
    <w:rsid w:val="7C9B7219"/>
  </w:rsids>
  <m:mathPr>
    <m:mathFont m:val="Cambria Math"/>
    <m:brkBin m:val="before"/>
    <m:brkBinSub m:val="--"/>
    <m:smallFrac m:val="0"/>
    <m:dispDef/>
    <m:lMargin m:val="0"/>
    <m:rMargin m:val="0"/>
    <m:defJc m:val="centerGroup"/>
    <m:wrapIndent m:val="1440"/>
    <m:intLim m:val="subSup"/>
    <m:naryLim m:val="undOvr"/>
  </m:mathPr>
  <w:themeFontLang w:val="fi-F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C71C06"/>
  <w15:chartTrackingRefBased/>
  <w15:docId w15:val="{B5E3187D-09FB-45D1-BB09-9975D5B987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164CEC"/>
    <w:pPr>
      <w:spacing w:after="0" w:line="240" w:lineRule="auto"/>
    </w:pPr>
    <w:rPr>
      <w:rFonts w:ascii="Calibri" w:hAnsi="Calibri" w:cs="Calibri"/>
      <w:kern w:val="0"/>
      <w:lang w:eastAsia="fi-FI"/>
      <w14:ligatures w14:val="none"/>
    </w:rPr>
  </w:style>
  <w:style w:type="paragraph" w:styleId="Otsikko1">
    <w:name w:val="heading 1"/>
    <w:basedOn w:val="Normaali"/>
    <w:next w:val="Normaali"/>
    <w:link w:val="Otsikko1Char"/>
    <w:uiPriority w:val="9"/>
    <w:qFormat/>
    <w:rsid w:val="0068439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Otsikko2">
    <w:name w:val="heading 2"/>
    <w:basedOn w:val="Normaali"/>
    <w:next w:val="Normaali"/>
    <w:link w:val="Otsikko2Char"/>
    <w:uiPriority w:val="9"/>
    <w:unhideWhenUsed/>
    <w:qFormat/>
    <w:rsid w:val="00684396"/>
    <w:pPr>
      <w:keepNext/>
      <w:keepLines/>
      <w:spacing w:before="40" w:line="259" w:lineRule="auto"/>
      <w:outlineLvl w:val="1"/>
    </w:pPr>
    <w:rPr>
      <w:rFonts w:asciiTheme="majorHAnsi" w:eastAsiaTheme="majorEastAsia" w:hAnsiTheme="majorHAnsi" w:cstheme="majorBidi"/>
      <w:color w:val="2F5496" w:themeColor="accent1" w:themeShade="BF"/>
      <w:sz w:val="26"/>
      <w:szCs w:val="26"/>
      <w:lang w:val="en-GB" w:eastAsia="en-US"/>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uiPriority w:val="34"/>
    <w:qFormat/>
    <w:rsid w:val="00F524E1"/>
    <w:pPr>
      <w:ind w:left="720"/>
    </w:pPr>
  </w:style>
  <w:style w:type="character" w:styleId="Hyperlinkki">
    <w:name w:val="Hyperlink"/>
    <w:basedOn w:val="Kappaleenoletusfontti"/>
    <w:uiPriority w:val="99"/>
    <w:semiHidden/>
    <w:unhideWhenUsed/>
    <w:rsid w:val="00F524E1"/>
    <w:rPr>
      <w:color w:val="0563C1"/>
      <w:u w:val="single"/>
    </w:rPr>
  </w:style>
  <w:style w:type="paragraph" w:styleId="Muutos">
    <w:name w:val="Revision"/>
    <w:hidden/>
    <w:uiPriority w:val="99"/>
    <w:semiHidden/>
    <w:rsid w:val="008A7CD2"/>
    <w:pPr>
      <w:spacing w:after="0" w:line="240" w:lineRule="auto"/>
    </w:pPr>
    <w:rPr>
      <w:rFonts w:ascii="Calibri" w:hAnsi="Calibri" w:cs="Calibri"/>
      <w:kern w:val="0"/>
      <w:lang w:eastAsia="fi-FI"/>
      <w14:ligatures w14:val="none"/>
    </w:rPr>
  </w:style>
  <w:style w:type="character" w:styleId="Kommentinviite">
    <w:name w:val="annotation reference"/>
    <w:basedOn w:val="Kappaleenoletusfontti"/>
    <w:uiPriority w:val="99"/>
    <w:semiHidden/>
    <w:unhideWhenUsed/>
    <w:rsid w:val="00D20FAB"/>
    <w:rPr>
      <w:sz w:val="16"/>
      <w:szCs w:val="16"/>
    </w:rPr>
  </w:style>
  <w:style w:type="paragraph" w:styleId="Kommentinteksti">
    <w:name w:val="annotation text"/>
    <w:basedOn w:val="Normaali"/>
    <w:link w:val="KommentintekstiChar"/>
    <w:uiPriority w:val="99"/>
    <w:semiHidden/>
    <w:unhideWhenUsed/>
    <w:rsid w:val="00D20FAB"/>
    <w:rPr>
      <w:sz w:val="20"/>
      <w:szCs w:val="20"/>
    </w:rPr>
  </w:style>
  <w:style w:type="character" w:customStyle="1" w:styleId="KommentintekstiChar">
    <w:name w:val="Kommentin teksti Char"/>
    <w:basedOn w:val="Kappaleenoletusfontti"/>
    <w:link w:val="Kommentinteksti"/>
    <w:uiPriority w:val="99"/>
    <w:semiHidden/>
    <w:rsid w:val="00D20FAB"/>
    <w:rPr>
      <w:rFonts w:ascii="Calibri" w:hAnsi="Calibri" w:cs="Calibri"/>
      <w:kern w:val="0"/>
      <w:sz w:val="20"/>
      <w:szCs w:val="20"/>
      <w:lang w:eastAsia="fi-FI"/>
      <w14:ligatures w14:val="none"/>
    </w:rPr>
  </w:style>
  <w:style w:type="paragraph" w:styleId="Kommentinotsikko">
    <w:name w:val="annotation subject"/>
    <w:basedOn w:val="Kommentinteksti"/>
    <w:next w:val="Kommentinteksti"/>
    <w:link w:val="KommentinotsikkoChar"/>
    <w:uiPriority w:val="99"/>
    <w:semiHidden/>
    <w:unhideWhenUsed/>
    <w:rsid w:val="00D20FAB"/>
    <w:rPr>
      <w:b/>
      <w:bCs/>
    </w:rPr>
  </w:style>
  <w:style w:type="character" w:customStyle="1" w:styleId="KommentinotsikkoChar">
    <w:name w:val="Kommentin otsikko Char"/>
    <w:basedOn w:val="KommentintekstiChar"/>
    <w:link w:val="Kommentinotsikko"/>
    <w:uiPriority w:val="99"/>
    <w:semiHidden/>
    <w:rsid w:val="00D20FAB"/>
    <w:rPr>
      <w:rFonts w:ascii="Calibri" w:hAnsi="Calibri" w:cs="Calibri"/>
      <w:b/>
      <w:bCs/>
      <w:kern w:val="0"/>
      <w:sz w:val="20"/>
      <w:szCs w:val="20"/>
      <w:lang w:eastAsia="fi-FI"/>
      <w14:ligatures w14:val="none"/>
    </w:rPr>
  </w:style>
  <w:style w:type="character" w:customStyle="1" w:styleId="Otsikko2Char">
    <w:name w:val="Otsikko 2 Char"/>
    <w:basedOn w:val="Kappaleenoletusfontti"/>
    <w:link w:val="Otsikko2"/>
    <w:uiPriority w:val="9"/>
    <w:rsid w:val="00684396"/>
    <w:rPr>
      <w:rFonts w:asciiTheme="majorHAnsi" w:eastAsiaTheme="majorEastAsia" w:hAnsiTheme="majorHAnsi" w:cstheme="majorBidi"/>
      <w:color w:val="2F5496" w:themeColor="accent1" w:themeShade="BF"/>
      <w:kern w:val="0"/>
      <w:sz w:val="26"/>
      <w:szCs w:val="26"/>
      <w:lang w:val="en-GB"/>
      <w14:ligatures w14:val="none"/>
    </w:rPr>
  </w:style>
  <w:style w:type="table" w:styleId="TaulukkoRuudukko">
    <w:name w:val="Table Grid"/>
    <w:basedOn w:val="Normaalitaulukko"/>
    <w:uiPriority w:val="39"/>
    <w:rsid w:val="0068439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sikko1Char">
    <w:name w:val="Otsikko 1 Char"/>
    <w:basedOn w:val="Kappaleenoletusfontti"/>
    <w:link w:val="Otsikko1"/>
    <w:uiPriority w:val="9"/>
    <w:rsid w:val="00684396"/>
    <w:rPr>
      <w:rFonts w:asciiTheme="majorHAnsi" w:eastAsiaTheme="majorEastAsia" w:hAnsiTheme="majorHAnsi" w:cstheme="majorBidi"/>
      <w:color w:val="2F5496" w:themeColor="accent1" w:themeShade="BF"/>
      <w:kern w:val="0"/>
      <w:sz w:val="32"/>
      <w:szCs w:val="32"/>
      <w:lang w:eastAsia="fi-FI"/>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4794225">
      <w:bodyDiv w:val="1"/>
      <w:marLeft w:val="0"/>
      <w:marRight w:val="0"/>
      <w:marTop w:val="0"/>
      <w:marBottom w:val="0"/>
      <w:divBdr>
        <w:top w:val="none" w:sz="0" w:space="0" w:color="auto"/>
        <w:left w:val="none" w:sz="0" w:space="0" w:color="auto"/>
        <w:bottom w:val="none" w:sz="0" w:space="0" w:color="auto"/>
        <w:right w:val="none" w:sz="0" w:space="0" w:color="auto"/>
      </w:divBdr>
    </w:div>
    <w:div w:id="804205199">
      <w:bodyDiv w:val="1"/>
      <w:marLeft w:val="0"/>
      <w:marRight w:val="0"/>
      <w:marTop w:val="0"/>
      <w:marBottom w:val="0"/>
      <w:divBdr>
        <w:top w:val="none" w:sz="0" w:space="0" w:color="auto"/>
        <w:left w:val="none" w:sz="0" w:space="0" w:color="auto"/>
        <w:bottom w:val="none" w:sz="0" w:space="0" w:color="auto"/>
        <w:right w:val="none" w:sz="0" w:space="0" w:color="auto"/>
      </w:divBdr>
    </w:div>
    <w:div w:id="2015260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enevaassociation.org/publication/cyber/cyber-risk-accumulation-fully-tackling-insurability-challeng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F1A600481A1E445B3C38489DE637DD3" ma:contentTypeVersion="7" ma:contentTypeDescription="Create a new document." ma:contentTypeScope="" ma:versionID="46aa94f8fd3eb97786050de5e6ca9741">
  <xsd:schema xmlns:xsd="http://www.w3.org/2001/XMLSchema" xmlns:xs="http://www.w3.org/2001/XMLSchema" xmlns:p="http://schemas.microsoft.com/office/2006/metadata/properties" xmlns:ns2="14e53da4-d09d-44f8-8f86-c7557ebca9ed" xmlns:ns3="d6f19e55-9658-4dd1-ba33-4653c28b4d44" targetNamespace="http://schemas.microsoft.com/office/2006/metadata/properties" ma:root="true" ma:fieldsID="61aca7320b8b288f2022be57117284fa" ns2:_="" ns3:_="">
    <xsd:import namespace="14e53da4-d09d-44f8-8f86-c7557ebca9ed"/>
    <xsd:import namespace="d6f19e55-9658-4dd1-ba33-4653c28b4d4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e53da4-d09d-44f8-8f86-c7557ebca9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f19e55-9658-4dd1-ba33-4653c28b4d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D0232F-614D-4C8F-8E15-9C32CBF1C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e53da4-d09d-44f8-8f86-c7557ebca9ed"/>
    <ds:schemaRef ds:uri="d6f19e55-9658-4dd1-ba33-4653c28b4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4017D5-2E61-4BC7-ABA3-8C72DE300343}">
  <ds:schemaRefs>
    <ds:schemaRef ds:uri="http://schemas.microsoft.com/sharepoint/v3/contenttype/forms"/>
  </ds:schemaRefs>
</ds:datastoreItem>
</file>

<file path=customXml/itemProps3.xml><?xml version="1.0" encoding="utf-8"?>
<ds:datastoreItem xmlns:ds="http://schemas.openxmlformats.org/officeDocument/2006/customXml" ds:itemID="{FB9ADCB6-7765-4475-88E6-60C6A7164173}">
  <ds:schemaRefs>
    <ds:schemaRef ds:uri="http://purl.org/dc/elements/1.1/"/>
    <ds:schemaRef ds:uri="http://schemas.microsoft.com/office/2006/documentManagement/types"/>
    <ds:schemaRef ds:uri="http://purl.org/dc/dcmitype/"/>
    <ds:schemaRef ds:uri="http://purl.org/dc/terms/"/>
    <ds:schemaRef ds:uri="d6f19e55-9658-4dd1-ba33-4653c28b4d44"/>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14e53da4-d09d-44f8-8f86-c7557ebca9e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960</Words>
  <Characters>7781</Characters>
  <Application>Microsoft Office Word</Application>
  <DocSecurity>0</DocSecurity>
  <Lines>64</Lines>
  <Paragraphs>17</Paragraphs>
  <ScaleCrop>false</ScaleCrop>
  <Company/>
  <LinksUpToDate>false</LinksUpToDate>
  <CharactersWithSpaces>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Esko Kivisaari</dc:creator>
  <cp:keywords/>
  <dc:description/>
  <cp:lastModifiedBy>Esko Kivisaari</cp:lastModifiedBy>
  <cp:revision>2</cp:revision>
  <dcterms:created xsi:type="dcterms:W3CDTF">2023-12-08T12:37:00Z</dcterms:created>
  <dcterms:modified xsi:type="dcterms:W3CDTF">2023-12-08T12:37:00Z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0x010100DF1A600481A1E445B3C38489DE637DD3</vt:lpwstr>
  </property>
  <property fmtid="{D5CDD505-2E9C-101B-9397-08002B2CF9AE}" pid="3" name="MSIP_Label_b0d5c4f4-7a29-4385-b7a5-afbe2154ae6f_Enabled">
    <vt:lpwstr>true</vt:lpwstr>
  </property>
  <property fmtid="{D5CDD505-2E9C-101B-9397-08002B2CF9AE}" pid="4" name="MSIP_Label_b0d5c4f4-7a29-4385-b7a5-afbe2154ae6f_SetDate">
    <vt:lpwstr>2023-11-19T18:59:29Z</vt:lpwstr>
  </property>
  <property fmtid="{D5CDD505-2E9C-101B-9397-08002B2CF9AE}" pid="5" name="MSIP_Label_b0d5c4f4-7a29-4385-b7a5-afbe2154ae6f_Method">
    <vt:lpwstr>Standard</vt:lpwstr>
  </property>
  <property fmtid="{D5CDD505-2E9C-101B-9397-08002B2CF9AE}" pid="6" name="MSIP_Label_b0d5c4f4-7a29-4385-b7a5-afbe2154ae6f_Name">
    <vt:lpwstr>Confidential</vt:lpwstr>
  </property>
  <property fmtid="{D5CDD505-2E9C-101B-9397-08002B2CF9AE}" pid="7" name="MSIP_Label_b0d5c4f4-7a29-4385-b7a5-afbe2154ae6f_SiteId">
    <vt:lpwstr>2dfb2f0b-4d21-4268-9559-72926144c918</vt:lpwstr>
  </property>
  <property fmtid="{D5CDD505-2E9C-101B-9397-08002B2CF9AE}" pid="8" name="MSIP_Label_b0d5c4f4-7a29-4385-b7a5-afbe2154ae6f_ActionId">
    <vt:lpwstr>2cb12eff-0e57-48e3-871f-f9162cb67436</vt:lpwstr>
  </property>
  <property fmtid="{D5CDD505-2E9C-101B-9397-08002B2CF9AE}" pid="9" name="MSIP_Label_b0d5c4f4-7a29-4385-b7a5-afbe2154ae6f_ContentBits">
    <vt:lpwstr>0</vt:lpwstr>
  </property>
</Properties>
</file>